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43044A" w:rsidRDefault="00995B3D">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4E6B2F" w:rsidP="008F43B5">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8F43B5">
                  <w:rPr>
                    <w:rFonts w:ascii="Arial" w:hAnsi="Arial" w:hint="cs"/>
                    <w:b/>
                    <w:bCs/>
                    <w:noProof w:val="0"/>
                    <w:sz w:val="26"/>
                    <w:szCs w:val="26"/>
                    <w:rtl/>
                  </w:rPr>
                  <w:t xml:space="preserve">א' ב' </w:t>
                </w:r>
                <w:r w:rsidR="008F43B5">
                  <w:rPr>
                    <w:rFonts w:ascii="Arial" w:hAnsi="Arial"/>
                    <w:b/>
                    <w:bCs/>
                    <w:noProof w:val="0"/>
                    <w:sz w:val="26"/>
                    <w:szCs w:val="26"/>
                    <w:rtl/>
                  </w:rPr>
                  <w:br/>
                </w:r>
                <w:r w:rsidR="00995B3D">
                  <w:rPr>
                    <w:rFonts w:ascii="Arial" w:hAnsi="Arial" w:hint="cs"/>
                    <w:b/>
                    <w:bCs/>
                    <w:noProof w:val="0"/>
                    <w:sz w:val="26"/>
                    <w:szCs w:val="26"/>
                    <w:rtl/>
                  </w:rPr>
                  <w:t>ע"י ב"כ עוה"ד סיגל אלון</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E6B2F" w:rsidP="00D44968">
            <w:pPr>
              <w:suppressLineNumbers/>
              <w:rPr>
                <w:rFonts w:ascii="Arial" w:hAnsi="Arial"/>
                <w:b/>
                <w:bCs/>
                <w:noProof w:val="0"/>
                <w:sz w:val="26"/>
                <w:szCs w:val="26"/>
              </w:rPr>
            </w:pPr>
            <w:sdt>
              <w:sdtPr>
                <w:rPr>
                  <w:rtl/>
                </w:rPr>
                <w:alias w:val="1184"/>
                <w:tag w:val="1184"/>
                <w:id w:val="-340621022"/>
                <w:text w:multiLine="1"/>
              </w:sdtPr>
              <w:sdtEndPr/>
              <w:sdtContent>
                <w:r w:rsidR="00995B3D">
                  <w:rPr>
                    <w:rFonts w:ascii="Arial" w:hAnsi="Arial"/>
                    <w:b/>
                    <w:bCs/>
                    <w:noProof w:val="0"/>
                    <w:sz w:val="26"/>
                    <w:szCs w:val="26"/>
                    <w:rtl/>
                  </w:rPr>
                  <w:t>משיב</w:t>
                </w:r>
                <w:r w:rsidR="00995B3D">
                  <w:rPr>
                    <w:rFonts w:ascii="Arial" w:hAnsi="Arial" w:hint="cs"/>
                    <w:b/>
                    <w:bCs/>
                    <w:noProof w:val="0"/>
                    <w:sz w:val="26"/>
                    <w:szCs w:val="26"/>
                    <w:rtl/>
                  </w:rPr>
                  <w:t>ות</w:t>
                </w:r>
              </w:sdtContent>
            </w:sdt>
          </w:p>
        </w:tc>
        <w:tc>
          <w:tcPr>
            <w:tcW w:w="5571" w:type="dxa"/>
          </w:tcPr>
          <w:p w:rsidR="00CF6BB7" w:rsidRPr="00CD516B" w:rsidRDefault="004E6B2F" w:rsidP="008F43B5">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765F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8F43B5">
                  <w:rPr>
                    <w:rFonts w:ascii="Arial" w:hAnsi="Arial" w:hint="cs"/>
                    <w:b/>
                    <w:bCs/>
                    <w:noProof w:val="0"/>
                    <w:sz w:val="26"/>
                    <w:szCs w:val="26"/>
                    <w:rtl/>
                  </w:rPr>
                  <w:t>ג' ד'</w:t>
                </w:r>
              </w:sdtContent>
            </w:sdt>
          </w:p>
          <w:p w:rsidR="00CF6BB7" w:rsidRPr="00CD516B" w:rsidRDefault="004E6B2F" w:rsidP="008F43B5">
            <w:pPr>
              <w:suppressLineNumbers/>
              <w:rPr>
                <w:rFonts w:ascii="Arial" w:hAnsi="Arial"/>
                <w:b/>
                <w:bCs/>
                <w:noProof w:val="0"/>
                <w:sz w:val="26"/>
                <w:szCs w:val="26"/>
                <w:rtl/>
              </w:rPr>
            </w:pPr>
            <w:sdt>
              <w:sdtPr>
                <w:rPr>
                  <w:rFonts w:ascii="Arial" w:hAnsi="Arial"/>
                  <w:b/>
                  <w:bCs/>
                  <w:noProof w:val="0"/>
                  <w:sz w:val="26"/>
                  <w:szCs w:val="26"/>
                  <w:rtl/>
                </w:rPr>
                <w:alias w:val="1571"/>
                <w:tag w:val="1571"/>
                <w:id w:val="-1597935589"/>
                <w:text w:multiLine="1"/>
              </w:sdtPr>
              <w:sdtEndPr/>
              <w:sdtContent>
                <w:r w:rsidR="00E765F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537628300"/>
                <w:placeholder>
                  <w:docPart w:val="4DC45A2FD697422FAA3CD896A84FA7B4"/>
                </w:placeholder>
                <w:text w:multiLine="1"/>
              </w:sdtPr>
              <w:sdtEndPr/>
              <w:sdtContent>
                <w:r w:rsidR="008F43B5">
                  <w:rPr>
                    <w:rFonts w:ascii="Arial" w:hAnsi="Arial" w:hint="cs"/>
                    <w:b/>
                    <w:bCs/>
                    <w:noProof w:val="0"/>
                    <w:sz w:val="26"/>
                    <w:szCs w:val="26"/>
                    <w:rtl/>
                  </w:rPr>
                  <w:t>ח' ט'</w:t>
                </w:r>
                <w:r w:rsidR="00995B3D">
                  <w:rPr>
                    <w:rFonts w:ascii="Arial" w:hAnsi="Arial"/>
                    <w:b/>
                    <w:bCs/>
                    <w:noProof w:val="0"/>
                    <w:sz w:val="26"/>
                    <w:szCs w:val="26"/>
                    <w:rtl/>
                  </w:rPr>
                  <w:br/>
                </w:r>
                <w:r w:rsidR="00995B3D">
                  <w:rPr>
                    <w:rFonts w:ascii="Arial" w:hAnsi="Arial" w:hint="cs"/>
                    <w:b/>
                    <w:bCs/>
                    <w:noProof w:val="0"/>
                    <w:sz w:val="26"/>
                    <w:szCs w:val="26"/>
                    <w:rtl/>
                  </w:rPr>
                  <w:t>ע"י ב"כ עוה"ד שחר ולנר</w:t>
                </w:r>
              </w:sdtContent>
            </w:sdt>
          </w:p>
        </w:tc>
      </w:tr>
      <w:tr w:rsidR="004C17EE" w:rsidTr="00D620FD">
        <w:trPr>
          <w:jc w:val="center"/>
        </w:trPr>
        <w:tc>
          <w:tcPr>
            <w:tcW w:w="8820" w:type="dxa"/>
            <w:gridSpan w:val="3"/>
          </w:tcPr>
          <w:p w:rsidR="00A75CA9" w:rsidRDefault="00A75CA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6546E" w:rsidRDefault="0016546E" w:rsidP="0016546E">
      <w:pPr>
        <w:spacing w:line="360" w:lineRule="auto"/>
        <w:jc w:val="both"/>
        <w:rPr>
          <w:rFonts w:ascii="David" w:hAnsi="David"/>
          <w:noProof w:val="0"/>
          <w:rtl/>
        </w:rPr>
      </w:pPr>
      <w:bookmarkStart w:id="0" w:name="NGCSBookmark"/>
      <w:bookmarkEnd w:id="0"/>
      <w:r>
        <w:rPr>
          <w:rFonts w:ascii="David" w:hAnsi="David"/>
          <w:rtl/>
        </w:rPr>
        <w:t>בקשת רשות ערעור על החלטת בית המשפט לענייני משפחה בקריות (כב' השופט ניר זיתוני) (להלן: "</w:t>
      </w:r>
      <w:r>
        <w:rPr>
          <w:rFonts w:ascii="David" w:hAnsi="David"/>
          <w:b/>
          <w:bCs/>
          <w:rtl/>
        </w:rPr>
        <w:t>בית משפט קמא</w:t>
      </w:r>
      <w:r>
        <w:rPr>
          <w:rFonts w:ascii="David" w:hAnsi="David"/>
          <w:rtl/>
        </w:rPr>
        <w:t xml:space="preserve">") בתמ"ש 36871-05-23 מיום 19.05.2024 במסגרתה נדחתה בקשת המבקש למינוי שמאי. </w:t>
      </w:r>
    </w:p>
    <w:p w:rsidR="00BA1C3F" w:rsidRDefault="00BA1C3F" w:rsidP="0016546E">
      <w:pPr>
        <w:spacing w:line="360" w:lineRule="auto"/>
        <w:jc w:val="both"/>
        <w:rPr>
          <w:rFonts w:ascii="David" w:hAnsi="David"/>
          <w:noProof w:val="0"/>
        </w:rPr>
      </w:pPr>
    </w:p>
    <w:p w:rsidR="0016546E" w:rsidRDefault="0016546E" w:rsidP="0016546E">
      <w:pPr>
        <w:spacing w:line="360" w:lineRule="auto"/>
        <w:jc w:val="both"/>
        <w:rPr>
          <w:rFonts w:ascii="David" w:hAnsi="David"/>
          <w:b/>
          <w:bCs/>
          <w:rtl/>
        </w:rPr>
      </w:pPr>
      <w:r>
        <w:rPr>
          <w:rFonts w:ascii="David" w:hAnsi="David"/>
          <w:b/>
          <w:bCs/>
          <w:rtl/>
        </w:rPr>
        <w:t>תמצית העובדות:</w:t>
      </w:r>
    </w:p>
    <w:p w:rsidR="00BA1C3F" w:rsidRDefault="00BA1C3F" w:rsidP="0016546E">
      <w:pPr>
        <w:spacing w:line="360" w:lineRule="auto"/>
        <w:jc w:val="both"/>
        <w:rPr>
          <w:rFonts w:ascii="David" w:hAnsi="David"/>
          <w:b/>
          <w:bCs/>
          <w:rtl/>
        </w:rPr>
      </w:pPr>
    </w:p>
    <w:p w:rsidR="008F2685" w:rsidRDefault="0016546E" w:rsidP="008F43B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הינם אחים, שלושת ילדיה של המנוחה </w:t>
      </w:r>
      <w:r w:rsidR="008F43B5">
        <w:rPr>
          <w:rFonts w:ascii="David" w:hAnsi="David" w:cs="David" w:hint="cs"/>
          <w:sz w:val="24"/>
          <w:szCs w:val="24"/>
          <w:rtl/>
        </w:rPr>
        <w:t>י' ל'</w:t>
      </w:r>
      <w:r>
        <w:rPr>
          <w:rFonts w:ascii="David" w:hAnsi="David" w:cs="David"/>
          <w:sz w:val="24"/>
          <w:szCs w:val="24"/>
          <w:rtl/>
        </w:rPr>
        <w:t xml:space="preserve"> ז"ל</w:t>
      </w:r>
      <w:r w:rsidR="008F2685">
        <w:rPr>
          <w:rFonts w:ascii="David" w:hAnsi="David" w:cs="David" w:hint="cs"/>
          <w:sz w:val="24"/>
          <w:szCs w:val="24"/>
          <w:rtl/>
        </w:rPr>
        <w:t xml:space="preserve"> (להלן: </w:t>
      </w:r>
      <w:r w:rsidR="008F2685" w:rsidRPr="008F2685">
        <w:rPr>
          <w:rFonts w:ascii="David" w:hAnsi="David" w:cs="David" w:hint="cs"/>
          <w:b/>
          <w:bCs/>
          <w:sz w:val="24"/>
          <w:szCs w:val="24"/>
          <w:rtl/>
        </w:rPr>
        <w:t>"המנוחה"</w:t>
      </w:r>
      <w:r w:rsidR="008F2685">
        <w:rPr>
          <w:rFonts w:ascii="David" w:hAnsi="David" w:cs="David" w:hint="cs"/>
          <w:sz w:val="24"/>
          <w:szCs w:val="24"/>
          <w:rtl/>
        </w:rPr>
        <w:t>)</w:t>
      </w:r>
      <w:r>
        <w:rPr>
          <w:rFonts w:ascii="David" w:hAnsi="David" w:cs="David"/>
          <w:sz w:val="24"/>
          <w:szCs w:val="24"/>
          <w:rtl/>
        </w:rPr>
        <w:t xml:space="preserve"> אשר הלכה לעולמה ביום 2020</w:t>
      </w:r>
      <w:r w:rsidR="008F43B5">
        <w:rPr>
          <w:rFonts w:ascii="David" w:hAnsi="David" w:cs="David"/>
          <w:sz w:val="24"/>
          <w:szCs w:val="24"/>
        </w:rPr>
        <w:t>xx.xx.</w:t>
      </w:r>
      <w:r>
        <w:rPr>
          <w:rFonts w:ascii="David" w:hAnsi="David" w:cs="David"/>
          <w:sz w:val="24"/>
          <w:szCs w:val="24"/>
          <w:rtl/>
        </w:rPr>
        <w:t xml:space="preserve"> והותי</w:t>
      </w:r>
      <w:r w:rsidR="00AE2025">
        <w:rPr>
          <w:rFonts w:ascii="David" w:hAnsi="David" w:cs="David"/>
          <w:sz w:val="24"/>
          <w:szCs w:val="24"/>
          <w:rtl/>
        </w:rPr>
        <w:t xml:space="preserve">רה אחריה צוואה מיום </w:t>
      </w:r>
      <w:r w:rsidR="008F43B5">
        <w:rPr>
          <w:rFonts w:ascii="David" w:hAnsi="David" w:cs="David"/>
          <w:sz w:val="24"/>
          <w:szCs w:val="24"/>
        </w:rPr>
        <w:t>xx.xx.2010</w:t>
      </w:r>
      <w:r w:rsidR="00AE2025">
        <w:rPr>
          <w:rFonts w:ascii="David" w:hAnsi="David" w:cs="David"/>
          <w:sz w:val="24"/>
          <w:szCs w:val="24"/>
          <w:rtl/>
        </w:rPr>
        <w:t>.</w:t>
      </w:r>
      <w:r w:rsidR="00AE2025">
        <w:rPr>
          <w:rFonts w:ascii="David" w:hAnsi="David" w:cs="David" w:hint="cs"/>
          <w:sz w:val="24"/>
          <w:szCs w:val="24"/>
          <w:rtl/>
        </w:rPr>
        <w:t xml:space="preserve"> בה הנחילה את ע</w:t>
      </w:r>
      <w:r w:rsidR="008F2685">
        <w:rPr>
          <w:rFonts w:ascii="David" w:hAnsi="David" w:cs="David" w:hint="cs"/>
          <w:sz w:val="24"/>
          <w:szCs w:val="24"/>
          <w:rtl/>
        </w:rPr>
        <w:t>זבונה לשלושתם בחלקים שווים.</w:t>
      </w:r>
      <w:r w:rsidR="00AE2025">
        <w:rPr>
          <w:rFonts w:ascii="David" w:hAnsi="David" w:cs="David" w:hint="cs"/>
          <w:sz w:val="24"/>
          <w:szCs w:val="24"/>
          <w:rtl/>
        </w:rPr>
        <w:t xml:space="preserve"> </w:t>
      </w:r>
    </w:p>
    <w:p w:rsidR="0016546E" w:rsidRDefault="008F2685" w:rsidP="008F43B5">
      <w:pPr>
        <w:pStyle w:val="ad"/>
        <w:spacing w:line="360" w:lineRule="auto"/>
        <w:jc w:val="both"/>
        <w:rPr>
          <w:rFonts w:ascii="David" w:hAnsi="David" w:cs="David"/>
          <w:sz w:val="24"/>
          <w:szCs w:val="24"/>
          <w:rtl/>
        </w:rPr>
      </w:pPr>
      <w:r>
        <w:rPr>
          <w:rFonts w:ascii="David" w:hAnsi="David" w:cs="David"/>
          <w:sz w:val="24"/>
          <w:szCs w:val="24"/>
          <w:rtl/>
        </w:rPr>
        <w:t>בבעלות</w:t>
      </w:r>
      <w:r>
        <w:rPr>
          <w:rFonts w:ascii="David" w:hAnsi="David" w:cs="David" w:hint="cs"/>
          <w:sz w:val="24"/>
          <w:szCs w:val="24"/>
          <w:rtl/>
        </w:rPr>
        <w:t xml:space="preserve"> המנוחה</w:t>
      </w:r>
      <w:r>
        <w:rPr>
          <w:rFonts w:ascii="David" w:hAnsi="David" w:cs="David"/>
          <w:sz w:val="24"/>
          <w:szCs w:val="24"/>
          <w:rtl/>
        </w:rPr>
        <w:t xml:space="preserve"> </w:t>
      </w:r>
      <w:r>
        <w:rPr>
          <w:rFonts w:ascii="David" w:hAnsi="David" w:cs="David" w:hint="cs"/>
          <w:sz w:val="24"/>
          <w:szCs w:val="24"/>
          <w:rtl/>
        </w:rPr>
        <w:t xml:space="preserve">בית </w:t>
      </w:r>
      <w:r>
        <w:rPr>
          <w:rFonts w:ascii="David" w:hAnsi="David" w:cs="David"/>
          <w:sz w:val="24"/>
          <w:szCs w:val="24"/>
          <w:rtl/>
        </w:rPr>
        <w:t xml:space="preserve">המצוי ברחוב </w:t>
      </w:r>
      <w:r w:rsidR="00304E5F">
        <w:rPr>
          <w:rFonts w:ascii="David" w:hAnsi="David" w:cs="David"/>
          <w:sz w:val="24"/>
          <w:szCs w:val="24"/>
        </w:rPr>
        <w:t>x</w:t>
      </w:r>
      <w:r w:rsidR="008F43B5">
        <w:rPr>
          <w:rFonts w:ascii="David" w:hAnsi="David" w:cs="David" w:hint="cs"/>
          <w:sz w:val="24"/>
          <w:szCs w:val="24"/>
          <w:rtl/>
        </w:rPr>
        <w:t xml:space="preserve"> ב</w:t>
      </w:r>
      <w:r w:rsidR="008F43B5">
        <w:rPr>
          <w:rFonts w:ascii="David" w:hAnsi="David" w:cs="David"/>
          <w:sz w:val="24"/>
          <w:szCs w:val="24"/>
        </w:rPr>
        <w:t>x</w:t>
      </w:r>
      <w:r>
        <w:rPr>
          <w:rFonts w:ascii="David" w:hAnsi="David" w:cs="David"/>
          <w:sz w:val="24"/>
          <w:szCs w:val="24"/>
          <w:rtl/>
        </w:rPr>
        <w:t xml:space="preserve">, הידוע כחלקה </w:t>
      </w:r>
      <w:r w:rsidR="008F43B5">
        <w:rPr>
          <w:rFonts w:ascii="David" w:hAnsi="David" w:cs="David"/>
          <w:sz w:val="24"/>
          <w:szCs w:val="24"/>
        </w:rPr>
        <w:t>x</w:t>
      </w:r>
      <w:r w:rsidR="00304E5F">
        <w:rPr>
          <w:rFonts w:ascii="David" w:hAnsi="David" w:cs="David" w:hint="cs"/>
          <w:sz w:val="24"/>
          <w:szCs w:val="24"/>
          <w:rtl/>
        </w:rPr>
        <w:t xml:space="preserve"> ..(</w:t>
      </w:r>
      <w:r>
        <w:rPr>
          <w:rFonts w:ascii="David" w:hAnsi="David" w:cs="David"/>
          <w:sz w:val="24"/>
          <w:szCs w:val="24"/>
          <w:rtl/>
        </w:rPr>
        <w:t>להלן: "</w:t>
      </w:r>
      <w:r>
        <w:rPr>
          <w:rFonts w:ascii="David" w:hAnsi="David" w:cs="David"/>
          <w:b/>
          <w:bCs/>
          <w:sz w:val="24"/>
          <w:szCs w:val="24"/>
          <w:rtl/>
        </w:rPr>
        <w:t>המקרקעין/הנכס</w:t>
      </w:r>
      <w:r>
        <w:rPr>
          <w:rFonts w:ascii="David" w:hAnsi="David" w:cs="David"/>
          <w:sz w:val="24"/>
          <w:szCs w:val="24"/>
          <w:rtl/>
        </w:rPr>
        <w:t>").</w:t>
      </w:r>
    </w:p>
    <w:p w:rsidR="0016546E" w:rsidRDefault="0016546E" w:rsidP="0016546E">
      <w:pPr>
        <w:pStyle w:val="ad"/>
        <w:spacing w:line="360" w:lineRule="auto"/>
        <w:jc w:val="both"/>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בפסק דין מיום 05.04.2023 </w:t>
      </w:r>
      <w:r w:rsidR="00930A85">
        <w:rPr>
          <w:rFonts w:ascii="David" w:hAnsi="David" w:cs="David" w:hint="cs"/>
          <w:sz w:val="24"/>
          <w:szCs w:val="24"/>
          <w:rtl/>
        </w:rPr>
        <w:t>נדחתה התנגדות המבקש ו</w:t>
      </w:r>
      <w:r>
        <w:rPr>
          <w:rFonts w:ascii="David" w:hAnsi="David" w:cs="David"/>
          <w:sz w:val="24"/>
          <w:szCs w:val="24"/>
          <w:rtl/>
        </w:rPr>
        <w:t xml:space="preserve">ניתן צו </w:t>
      </w:r>
      <w:r w:rsidR="00AE2025">
        <w:rPr>
          <w:rFonts w:ascii="David" w:hAnsi="David" w:cs="David" w:hint="cs"/>
          <w:sz w:val="24"/>
          <w:szCs w:val="24"/>
          <w:rtl/>
        </w:rPr>
        <w:t>ל</w:t>
      </w:r>
      <w:r w:rsidR="00930A85">
        <w:rPr>
          <w:rFonts w:ascii="David" w:hAnsi="David" w:cs="David"/>
          <w:sz w:val="24"/>
          <w:szCs w:val="24"/>
          <w:rtl/>
        </w:rPr>
        <w:t>קיו</w:t>
      </w:r>
      <w:r w:rsidR="00930A85">
        <w:rPr>
          <w:rFonts w:ascii="David" w:hAnsi="David" w:cs="David" w:hint="cs"/>
          <w:sz w:val="24"/>
          <w:szCs w:val="24"/>
          <w:rtl/>
        </w:rPr>
        <w:t xml:space="preserve">ם צוואת המנוחה </w:t>
      </w:r>
      <w:r>
        <w:rPr>
          <w:rFonts w:ascii="David" w:hAnsi="David" w:cs="David"/>
          <w:sz w:val="24"/>
          <w:szCs w:val="24"/>
          <w:rtl/>
        </w:rPr>
        <w:t>(ת"ע 32</w:t>
      </w:r>
      <w:r w:rsidR="00AE2025">
        <w:rPr>
          <w:rFonts w:ascii="David" w:hAnsi="David" w:cs="David"/>
          <w:sz w:val="24"/>
          <w:szCs w:val="24"/>
          <w:rtl/>
        </w:rPr>
        <w:t>184-07-22)</w:t>
      </w:r>
      <w:r w:rsidR="00930A85">
        <w:rPr>
          <w:rFonts w:ascii="David" w:hAnsi="David" w:cs="David" w:hint="cs"/>
          <w:sz w:val="24"/>
          <w:szCs w:val="24"/>
          <w:rtl/>
        </w:rPr>
        <w:t>.</w:t>
      </w:r>
    </w:p>
    <w:p w:rsidR="0016546E" w:rsidRDefault="0016546E" w:rsidP="0016546E">
      <w:pPr>
        <w:pStyle w:val="ad"/>
        <w:rPr>
          <w:rFonts w:ascii="David" w:hAnsi="David" w:cs="David"/>
          <w:sz w:val="24"/>
          <w:szCs w:val="24"/>
        </w:rPr>
      </w:pPr>
    </w:p>
    <w:p w:rsidR="0016546E" w:rsidRDefault="0016546E" w:rsidP="000D15F5">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בין הצדדים מתנהלים שני הליכים ב</w:t>
      </w:r>
      <w:r w:rsidR="000D15F5">
        <w:rPr>
          <w:rFonts w:ascii="David" w:hAnsi="David" w:cs="David" w:hint="cs"/>
          <w:sz w:val="24"/>
          <w:szCs w:val="24"/>
          <w:rtl/>
        </w:rPr>
        <w:t>פני בית</w:t>
      </w:r>
      <w:r>
        <w:rPr>
          <w:rFonts w:ascii="David" w:hAnsi="David" w:cs="David"/>
          <w:sz w:val="24"/>
          <w:szCs w:val="24"/>
          <w:rtl/>
        </w:rPr>
        <w:t xml:space="preserve"> משפט קמא: </w:t>
      </w:r>
    </w:p>
    <w:p w:rsidR="0016546E" w:rsidRDefault="0016546E" w:rsidP="0016546E">
      <w:pPr>
        <w:pStyle w:val="ad"/>
        <w:rPr>
          <w:rFonts w:ascii="David" w:hAnsi="David" w:cs="David"/>
          <w:sz w:val="24"/>
          <w:szCs w:val="24"/>
        </w:rPr>
      </w:pPr>
    </w:p>
    <w:p w:rsidR="004D69B5" w:rsidRDefault="0016546E" w:rsidP="00304E5F">
      <w:pPr>
        <w:pStyle w:val="ad"/>
        <w:spacing w:line="360" w:lineRule="auto"/>
        <w:jc w:val="both"/>
        <w:rPr>
          <w:rFonts w:ascii="David" w:hAnsi="David" w:cs="David"/>
          <w:sz w:val="24"/>
          <w:szCs w:val="24"/>
          <w:rtl/>
        </w:rPr>
      </w:pPr>
      <w:r>
        <w:rPr>
          <w:rFonts w:ascii="David" w:hAnsi="David" w:cs="David"/>
          <w:sz w:val="24"/>
          <w:szCs w:val="24"/>
          <w:rtl/>
        </w:rPr>
        <w:t xml:space="preserve">הראשון, תמ"ש 36871-05-23 – תביעה </w:t>
      </w:r>
      <w:r w:rsidR="004D69B5">
        <w:rPr>
          <w:rFonts w:ascii="David" w:hAnsi="David" w:cs="David" w:hint="cs"/>
          <w:sz w:val="24"/>
          <w:szCs w:val="24"/>
          <w:rtl/>
        </w:rPr>
        <w:t xml:space="preserve">מיום 15.05.2023 </w:t>
      </w:r>
      <w:r w:rsidR="008F2685">
        <w:rPr>
          <w:rFonts w:ascii="David" w:hAnsi="David" w:cs="David" w:hint="cs"/>
          <w:sz w:val="24"/>
          <w:szCs w:val="24"/>
          <w:rtl/>
        </w:rPr>
        <w:t xml:space="preserve">אשר הגישו המשיבות כנגד אחיהן המבקש </w:t>
      </w:r>
      <w:r w:rsidR="004D69B5">
        <w:rPr>
          <w:rFonts w:ascii="David" w:hAnsi="David" w:cs="David"/>
          <w:sz w:val="24"/>
          <w:szCs w:val="24"/>
          <w:rtl/>
        </w:rPr>
        <w:t>לחלוקת העיזבון בדרך של מכירת</w:t>
      </w:r>
      <w:r w:rsidR="00E125AC">
        <w:rPr>
          <w:rFonts w:ascii="David" w:hAnsi="David" w:cs="David"/>
          <w:sz w:val="24"/>
          <w:szCs w:val="24"/>
          <w:rtl/>
        </w:rPr>
        <w:t xml:space="preserve"> הנכס וחלוקת תמורתו בהתאם לצווא</w:t>
      </w:r>
      <w:r w:rsidR="00E125AC">
        <w:rPr>
          <w:rFonts w:ascii="David" w:hAnsi="David" w:cs="David" w:hint="cs"/>
          <w:sz w:val="24"/>
          <w:szCs w:val="24"/>
          <w:rtl/>
        </w:rPr>
        <w:t>ת המנוחה</w:t>
      </w:r>
      <w:r w:rsidR="004D69B5">
        <w:rPr>
          <w:rFonts w:ascii="David" w:hAnsi="David" w:cs="David"/>
          <w:sz w:val="24"/>
          <w:szCs w:val="24"/>
          <w:rtl/>
        </w:rPr>
        <w:t xml:space="preserve"> שאושרה, ולחיוב המבקש </w:t>
      </w:r>
      <w:r w:rsidR="00E125AC">
        <w:rPr>
          <w:rFonts w:ascii="David" w:hAnsi="David" w:cs="David" w:hint="cs"/>
          <w:sz w:val="24"/>
          <w:szCs w:val="24"/>
          <w:rtl/>
        </w:rPr>
        <w:t>לפנות את הנכס ולשלם</w:t>
      </w:r>
      <w:r w:rsidR="004D69B5">
        <w:rPr>
          <w:rFonts w:ascii="David" w:hAnsi="David" w:cs="David"/>
          <w:sz w:val="24"/>
          <w:szCs w:val="24"/>
          <w:rtl/>
        </w:rPr>
        <w:t xml:space="preserve"> דמי שימוש ראויים בגין השימוש שעשה בנכס (36871-05-23).</w:t>
      </w:r>
      <w:r w:rsidR="00930A85">
        <w:rPr>
          <w:rFonts w:ascii="David" w:hAnsi="David" w:cs="David" w:hint="cs"/>
          <w:sz w:val="24"/>
          <w:szCs w:val="24"/>
          <w:rtl/>
        </w:rPr>
        <w:t xml:space="preserve"> המשיבות הפנו לאמור בצוואת המנוחה ביחס לנכ</w:t>
      </w:r>
      <w:r w:rsidR="00882C67">
        <w:rPr>
          <w:rFonts w:ascii="David" w:hAnsi="David" w:cs="David" w:hint="cs"/>
          <w:sz w:val="24"/>
          <w:szCs w:val="24"/>
          <w:rtl/>
        </w:rPr>
        <w:t>ס אשר הורתה כי באין</w:t>
      </w:r>
      <w:r w:rsidR="00930A85">
        <w:rPr>
          <w:rFonts w:ascii="David" w:hAnsi="David" w:cs="David" w:hint="cs"/>
          <w:sz w:val="24"/>
          <w:szCs w:val="24"/>
          <w:rtl/>
        </w:rPr>
        <w:t xml:space="preserve"> הסכמה</w:t>
      </w:r>
      <w:r w:rsidR="00882C67">
        <w:rPr>
          <w:rFonts w:ascii="David" w:hAnsi="David" w:cs="David" w:hint="cs"/>
          <w:sz w:val="24"/>
          <w:szCs w:val="24"/>
          <w:rtl/>
        </w:rPr>
        <w:t xml:space="preserve"> פה אחד</w:t>
      </w:r>
      <w:r w:rsidR="00930A85">
        <w:rPr>
          <w:rFonts w:ascii="David" w:hAnsi="David" w:cs="David" w:hint="cs"/>
          <w:sz w:val="24"/>
          <w:szCs w:val="24"/>
          <w:rtl/>
        </w:rPr>
        <w:t xml:space="preserve"> בין היורשים</w:t>
      </w:r>
      <w:r w:rsidR="00882C67">
        <w:rPr>
          <w:rFonts w:ascii="David" w:hAnsi="David" w:cs="David" w:hint="cs"/>
          <w:sz w:val="24"/>
          <w:szCs w:val="24"/>
          <w:rtl/>
        </w:rPr>
        <w:t xml:space="preserve">, וכך הוא במקרה דנן, הנכס יימכר ותמורתו תחולק שווה בשווה בין היורשים.  </w:t>
      </w:r>
    </w:p>
    <w:p w:rsidR="0016546E" w:rsidRDefault="0016546E" w:rsidP="008F2685">
      <w:pPr>
        <w:pStyle w:val="ad"/>
        <w:spacing w:line="360" w:lineRule="auto"/>
        <w:jc w:val="both"/>
        <w:rPr>
          <w:rFonts w:ascii="David" w:hAnsi="David" w:cs="David"/>
          <w:sz w:val="24"/>
          <w:szCs w:val="24"/>
          <w:rtl/>
        </w:rPr>
      </w:pPr>
    </w:p>
    <w:p w:rsidR="0016546E" w:rsidRDefault="0016546E" w:rsidP="00F42D27">
      <w:pPr>
        <w:pStyle w:val="ad"/>
        <w:spacing w:line="360" w:lineRule="auto"/>
        <w:jc w:val="both"/>
        <w:rPr>
          <w:rFonts w:ascii="David" w:hAnsi="David" w:cs="David"/>
          <w:sz w:val="24"/>
          <w:szCs w:val="24"/>
          <w:rtl/>
        </w:rPr>
      </w:pPr>
      <w:r>
        <w:rPr>
          <w:rFonts w:ascii="David" w:hAnsi="David" w:cs="David"/>
          <w:sz w:val="24"/>
          <w:szCs w:val="24"/>
          <w:rtl/>
        </w:rPr>
        <w:t>השני, תמ"ש 32785-05-23 – תביעה</w:t>
      </w:r>
      <w:r w:rsidR="008F2685">
        <w:rPr>
          <w:rFonts w:ascii="David" w:hAnsi="David" w:cs="David" w:hint="cs"/>
          <w:sz w:val="24"/>
          <w:szCs w:val="24"/>
          <w:rtl/>
        </w:rPr>
        <w:t xml:space="preserve"> אשר הגיש המבקש</w:t>
      </w:r>
      <w:r>
        <w:rPr>
          <w:rFonts w:ascii="David" w:hAnsi="David" w:cs="David"/>
          <w:sz w:val="24"/>
          <w:szCs w:val="24"/>
          <w:rtl/>
        </w:rPr>
        <w:t xml:space="preserve"> לפסק דין הצהרתי ולפירוק שיתוף ב</w:t>
      </w:r>
      <w:r w:rsidR="008F2685">
        <w:rPr>
          <w:rFonts w:ascii="David" w:hAnsi="David" w:cs="David"/>
          <w:sz w:val="24"/>
          <w:szCs w:val="24"/>
          <w:rtl/>
        </w:rPr>
        <w:t>דרך של חלוקה בעין</w:t>
      </w:r>
      <w:r w:rsidR="00F42D27">
        <w:rPr>
          <w:rFonts w:ascii="David" w:hAnsi="David" w:cs="David" w:hint="cs"/>
          <w:sz w:val="24"/>
          <w:szCs w:val="24"/>
          <w:rtl/>
        </w:rPr>
        <w:t xml:space="preserve">. </w:t>
      </w:r>
      <w:r w:rsidR="00705415">
        <w:rPr>
          <w:rFonts w:ascii="David" w:hAnsi="David" w:cs="David" w:hint="cs"/>
          <w:sz w:val="24"/>
          <w:szCs w:val="24"/>
          <w:rtl/>
        </w:rPr>
        <w:t xml:space="preserve">המבקש </w:t>
      </w:r>
      <w:r w:rsidR="00304E5F">
        <w:rPr>
          <w:rFonts w:ascii="David" w:hAnsi="David" w:cs="David" w:hint="cs"/>
          <w:sz w:val="24"/>
          <w:szCs w:val="24"/>
          <w:rtl/>
        </w:rPr>
        <w:t>טען בין היתר כי בנכס</w:t>
      </w:r>
      <w:r w:rsidR="00E67226">
        <w:rPr>
          <w:rFonts w:ascii="David" w:hAnsi="David" w:cs="David" w:hint="cs"/>
          <w:sz w:val="24"/>
          <w:szCs w:val="24"/>
          <w:rtl/>
        </w:rPr>
        <w:t xml:space="preserve"> קיימות לו זכויות השייכות לו בלבד, </w:t>
      </w:r>
      <w:r w:rsidR="00F42D27">
        <w:rPr>
          <w:rFonts w:ascii="David" w:hAnsi="David" w:cs="David" w:hint="cs"/>
          <w:sz w:val="24"/>
          <w:szCs w:val="24"/>
          <w:rtl/>
        </w:rPr>
        <w:t xml:space="preserve">בשונה מאחיותיו היורשות, וכי יש לגרוע זכויות אלה מהעיזבון ולזכותו בהן תחילה, טרם פירוק השיתוף בנכס. כך טען כי יש לו זכויות </w:t>
      </w:r>
      <w:r w:rsidR="00E67226">
        <w:rPr>
          <w:rFonts w:ascii="David" w:hAnsi="David" w:cs="David" w:hint="cs"/>
          <w:sz w:val="24"/>
          <w:szCs w:val="24"/>
          <w:rtl/>
        </w:rPr>
        <w:t xml:space="preserve">של מקים בכך שהוא הקים את ביתו בו הוא מתגורר </w:t>
      </w:r>
      <w:r w:rsidR="00F42D27">
        <w:rPr>
          <w:rFonts w:ascii="David" w:hAnsi="David" w:cs="David" w:hint="cs"/>
          <w:sz w:val="24"/>
          <w:szCs w:val="24"/>
          <w:rtl/>
        </w:rPr>
        <w:t>ויחידה נפרדת בגינה, זכויות של בעל רישיון בתמורה ובלתי הדיר</w:t>
      </w:r>
      <w:r w:rsidR="00930A85">
        <w:rPr>
          <w:rFonts w:ascii="David" w:hAnsi="David" w:cs="David" w:hint="cs"/>
          <w:sz w:val="24"/>
          <w:szCs w:val="24"/>
          <w:rtl/>
        </w:rPr>
        <w:t xml:space="preserve"> וזכויות של משביח.  </w:t>
      </w:r>
    </w:p>
    <w:p w:rsidR="0016546E" w:rsidRPr="008F2685" w:rsidRDefault="0016546E" w:rsidP="008F2685">
      <w:pPr>
        <w:spacing w:line="360" w:lineRule="auto"/>
        <w:jc w:val="both"/>
        <w:rPr>
          <w:rFonts w:ascii="David" w:hAnsi="David"/>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28.05.2023 הגיש המבקש בקשה למתן צווים, ובפרט למינוי שמאי כמומחה מטעם בית ה</w:t>
      </w:r>
      <w:r w:rsidR="00705415">
        <w:rPr>
          <w:rFonts w:ascii="David" w:hAnsi="David" w:cs="David"/>
          <w:sz w:val="24"/>
          <w:szCs w:val="24"/>
          <w:rtl/>
        </w:rPr>
        <w:t>משפט על מנת שייתן חוות דעת ב</w:t>
      </w:r>
      <w:r w:rsidR="00705415">
        <w:rPr>
          <w:rFonts w:ascii="David" w:hAnsi="David" w:cs="David" w:hint="cs"/>
          <w:sz w:val="24"/>
          <w:szCs w:val="24"/>
          <w:rtl/>
        </w:rPr>
        <w:t>ה יתייחס</w:t>
      </w:r>
      <w:r>
        <w:rPr>
          <w:rFonts w:ascii="David" w:hAnsi="David" w:cs="David"/>
          <w:sz w:val="24"/>
          <w:szCs w:val="24"/>
          <w:rtl/>
        </w:rPr>
        <w:t xml:space="preserve"> לכלל הסוגיות המצויות במחלוקת בין הצדדים וכי חוות דעתו תכלול </w:t>
      </w:r>
      <w:r w:rsidR="00705415">
        <w:rPr>
          <w:rFonts w:ascii="David" w:hAnsi="David" w:cs="David" w:hint="cs"/>
          <w:sz w:val="24"/>
          <w:szCs w:val="24"/>
          <w:rtl/>
        </w:rPr>
        <w:t>החלופות ה</w:t>
      </w:r>
      <w:r w:rsidR="00705415">
        <w:rPr>
          <w:rFonts w:ascii="David" w:hAnsi="David" w:cs="David"/>
          <w:sz w:val="24"/>
          <w:szCs w:val="24"/>
          <w:rtl/>
        </w:rPr>
        <w:t>אפשר</w:t>
      </w:r>
      <w:r>
        <w:rPr>
          <w:rFonts w:ascii="David" w:hAnsi="David" w:cs="David"/>
          <w:sz w:val="24"/>
          <w:szCs w:val="24"/>
          <w:rtl/>
        </w:rPr>
        <w:t xml:space="preserve">יות </w:t>
      </w:r>
      <w:r w:rsidR="00705415">
        <w:rPr>
          <w:rFonts w:ascii="David" w:hAnsi="David" w:cs="David" w:hint="cs"/>
          <w:sz w:val="24"/>
          <w:szCs w:val="24"/>
          <w:rtl/>
        </w:rPr>
        <w:t>ל</w:t>
      </w:r>
      <w:r>
        <w:rPr>
          <w:rFonts w:ascii="David" w:hAnsi="David" w:cs="David"/>
          <w:sz w:val="24"/>
          <w:szCs w:val="24"/>
          <w:rtl/>
        </w:rPr>
        <w:t>פיר</w:t>
      </w:r>
      <w:r w:rsidR="00705415">
        <w:rPr>
          <w:rFonts w:ascii="David" w:hAnsi="David" w:cs="David"/>
          <w:sz w:val="24"/>
          <w:szCs w:val="24"/>
          <w:rtl/>
        </w:rPr>
        <w:t>וק השיתוף ב</w:t>
      </w:r>
      <w:r w:rsidR="00705415">
        <w:rPr>
          <w:rFonts w:ascii="David" w:hAnsi="David" w:cs="David" w:hint="cs"/>
          <w:sz w:val="24"/>
          <w:szCs w:val="24"/>
          <w:rtl/>
        </w:rPr>
        <w:t>נכס</w:t>
      </w:r>
      <w:r>
        <w:rPr>
          <w:rFonts w:ascii="David" w:hAnsi="David" w:cs="David"/>
          <w:sz w:val="24"/>
          <w:szCs w:val="24"/>
          <w:rtl/>
        </w:rPr>
        <w:t>, שווי נפ</w:t>
      </w:r>
      <w:r w:rsidR="00705415">
        <w:rPr>
          <w:rFonts w:ascii="David" w:hAnsi="David" w:cs="David"/>
          <w:sz w:val="24"/>
          <w:szCs w:val="24"/>
          <w:rtl/>
        </w:rPr>
        <w:t xml:space="preserve">רד של כל אחד משני הבתים </w:t>
      </w:r>
      <w:r w:rsidR="00705415">
        <w:rPr>
          <w:rFonts w:ascii="David" w:hAnsi="David" w:cs="David" w:hint="cs"/>
          <w:sz w:val="24"/>
          <w:szCs w:val="24"/>
          <w:rtl/>
        </w:rPr>
        <w:t>שבנכס</w:t>
      </w:r>
      <w:r>
        <w:rPr>
          <w:rFonts w:ascii="David" w:hAnsi="David" w:cs="David"/>
          <w:sz w:val="24"/>
          <w:szCs w:val="24"/>
          <w:rtl/>
        </w:rPr>
        <w:t xml:space="preserve"> לצורך מכר בשוק החו</w:t>
      </w:r>
      <w:r w:rsidR="00730CDB">
        <w:rPr>
          <w:rFonts w:ascii="David" w:hAnsi="David" w:cs="David"/>
          <w:sz w:val="24"/>
          <w:szCs w:val="24"/>
          <w:rtl/>
        </w:rPr>
        <w:t xml:space="preserve">פשי, שווי המקרקעין בשלמותם, </w:t>
      </w:r>
      <w:r w:rsidR="00730CDB">
        <w:rPr>
          <w:rFonts w:ascii="David" w:hAnsi="David" w:cs="David" w:hint="cs"/>
          <w:sz w:val="24"/>
          <w:szCs w:val="24"/>
          <w:rtl/>
        </w:rPr>
        <w:t>שיעור</w:t>
      </w:r>
      <w:r>
        <w:rPr>
          <w:rFonts w:ascii="David" w:hAnsi="David" w:cs="David"/>
          <w:sz w:val="24"/>
          <w:szCs w:val="24"/>
          <w:rtl/>
        </w:rPr>
        <w:t xml:space="preserve"> דמי שימוש ראויים בגין כל בית ובגין הבית כולו, שווי ביטול רישיון מגורים למבקש בבית, והערכת שווי ההשבחה שביצע המבקש במקרקעין. </w:t>
      </w:r>
    </w:p>
    <w:p w:rsidR="0016546E" w:rsidRDefault="0016546E" w:rsidP="0016546E">
      <w:pPr>
        <w:pStyle w:val="ad"/>
        <w:spacing w:line="360" w:lineRule="auto"/>
        <w:jc w:val="both"/>
        <w:rPr>
          <w:rFonts w:ascii="David" w:hAnsi="David" w:cs="David"/>
          <w:sz w:val="24"/>
          <w:szCs w:val="24"/>
          <w:rtl/>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המשיבות בתגובתן לבקשה שהוגשה ביום 03.07.2023 טענו כי בקשה למינוי שמאי שיבצע הערכות שווי בנוגע לזכויו</w:t>
      </w:r>
      <w:r w:rsidR="00E125AC">
        <w:rPr>
          <w:rFonts w:ascii="David" w:hAnsi="David" w:cs="David"/>
          <w:sz w:val="24"/>
          <w:szCs w:val="24"/>
          <w:rtl/>
        </w:rPr>
        <w:t>ת הנטענות על ידי המבקש, אינה מב</w:t>
      </w:r>
      <w:r>
        <w:rPr>
          <w:rFonts w:ascii="David" w:hAnsi="David" w:cs="David"/>
          <w:sz w:val="24"/>
          <w:szCs w:val="24"/>
          <w:rtl/>
        </w:rPr>
        <w:t>ססת כל טיעון אשר יצדיק זאת, וכי ככל שהמבקש יצליח בסוף ההליך להוכיח את כלל טענותיו, הרי אז יהיה מקום למנות שמאי. לטענתן, ככל שהמבקש יזכה בנכס לאחר התמחרות שתתבצע לגביו במכירה בשוק החופשי למרבה במחיר, יוכל לפצל את הנכס ככל והדבר יתאפשר תכנונית.</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18.07.2023 דחה בית משפט קמא את בקשת המבקש ממספר טעמים: ראשית</w:t>
      </w:r>
      <w:r w:rsidR="00730CDB">
        <w:rPr>
          <w:rFonts w:ascii="David" w:hAnsi="David" w:cs="David" w:hint="cs"/>
          <w:sz w:val="24"/>
          <w:szCs w:val="24"/>
          <w:rtl/>
        </w:rPr>
        <w:t>,</w:t>
      </w:r>
      <w:r>
        <w:rPr>
          <w:rFonts w:ascii="David" w:hAnsi="David" w:cs="David"/>
          <w:sz w:val="24"/>
          <w:szCs w:val="24"/>
          <w:rtl/>
        </w:rPr>
        <w:t xml:space="preserve"> נקבע כי הסמכויות שהמבקש עותר להקנות לשמאי המומחה יוצאות דופן בהיקפן והדרך המקובלת היא להכריע תחילה במחלוקות העובדתיות והמשפטיות ורק לאחר מכן למנות שמאי מומחה שיאפשר הכרעה במחלוקות בעלות אופי שמאי. שנית</w:t>
      </w:r>
      <w:r w:rsidR="00730CDB">
        <w:rPr>
          <w:rFonts w:ascii="David" w:hAnsi="David" w:cs="David" w:hint="cs"/>
          <w:sz w:val="24"/>
          <w:szCs w:val="24"/>
          <w:rtl/>
        </w:rPr>
        <w:t>,</w:t>
      </w:r>
      <w:r>
        <w:rPr>
          <w:rFonts w:ascii="David" w:hAnsi="David" w:cs="David"/>
          <w:sz w:val="24"/>
          <w:szCs w:val="24"/>
          <w:rtl/>
        </w:rPr>
        <w:t xml:space="preserve"> נקבע כי הטענה לפיה נדרש מינוי שמאי על מנת להכריע בתביעת המשיבות לדמי</w:t>
      </w:r>
      <w:r w:rsidR="00730CDB">
        <w:rPr>
          <w:rFonts w:ascii="David" w:hAnsi="David" w:cs="David"/>
          <w:sz w:val="24"/>
          <w:szCs w:val="24"/>
          <w:rtl/>
        </w:rPr>
        <w:t xml:space="preserve"> שימוש היא בעלת ממשות כשלעצמה א</w:t>
      </w:r>
      <w:r>
        <w:rPr>
          <w:rFonts w:ascii="David" w:hAnsi="David" w:cs="David"/>
          <w:sz w:val="24"/>
          <w:szCs w:val="24"/>
          <w:rtl/>
        </w:rPr>
        <w:t>ך אין בה כדי להצדיק מינוי שמאי בהיקף המבוקש וכי מטעמים מעשיים יהיה צורך לעדכן את חוות הדעת בשלב ההכרעה בהליכים ולכן יש להעדיף הכרעה במחלוקות טרם מינוי שמאי. שלישית</w:t>
      </w:r>
      <w:r w:rsidR="00730CDB">
        <w:rPr>
          <w:rFonts w:ascii="David" w:hAnsi="David" w:cs="David" w:hint="cs"/>
          <w:sz w:val="24"/>
          <w:szCs w:val="24"/>
          <w:rtl/>
        </w:rPr>
        <w:t>,</w:t>
      </w:r>
      <w:r>
        <w:rPr>
          <w:rFonts w:ascii="David" w:hAnsi="David" w:cs="David"/>
          <w:sz w:val="24"/>
          <w:szCs w:val="24"/>
          <w:rtl/>
        </w:rPr>
        <w:t xml:space="preserve"> נקבע כי בעבר הצדדים נעזרו בחוות דעת שמאי בשלב המו"מ ל</w:t>
      </w:r>
      <w:r w:rsidR="00730CDB">
        <w:rPr>
          <w:rFonts w:ascii="David" w:hAnsi="David" w:cs="David" w:hint="cs"/>
          <w:sz w:val="24"/>
          <w:szCs w:val="24"/>
          <w:rtl/>
        </w:rPr>
        <w:t xml:space="preserve">קראת </w:t>
      </w:r>
      <w:r>
        <w:rPr>
          <w:rFonts w:ascii="David" w:hAnsi="David" w:cs="David"/>
          <w:sz w:val="24"/>
          <w:szCs w:val="24"/>
          <w:rtl/>
        </w:rPr>
        <w:t>הסכם כולל</w:t>
      </w:r>
      <w:r w:rsidR="00304E5F">
        <w:rPr>
          <w:rFonts w:ascii="David" w:hAnsi="David" w:cs="David"/>
          <w:sz w:val="24"/>
          <w:szCs w:val="24"/>
          <w:rtl/>
        </w:rPr>
        <w:t>, ולא עלה בידם להגיע להסכם</w:t>
      </w:r>
      <w:r w:rsidR="00304E5F">
        <w:rPr>
          <w:rFonts w:ascii="David" w:hAnsi="David" w:cs="David" w:hint="cs"/>
          <w:sz w:val="24"/>
          <w:szCs w:val="24"/>
          <w:rtl/>
        </w:rPr>
        <w:t xml:space="preserve"> וכי </w:t>
      </w:r>
      <w:r>
        <w:rPr>
          <w:rFonts w:ascii="David" w:hAnsi="David" w:cs="David"/>
          <w:sz w:val="24"/>
          <w:szCs w:val="24"/>
          <w:rtl/>
        </w:rPr>
        <w:t>עמדת</w:t>
      </w:r>
      <w:r w:rsidR="00730CDB">
        <w:rPr>
          <w:rFonts w:ascii="David" w:hAnsi="David" w:cs="David"/>
          <w:sz w:val="24"/>
          <w:szCs w:val="24"/>
          <w:rtl/>
        </w:rPr>
        <w:t xml:space="preserve"> בית משפט קמא בהליך הקודם </w:t>
      </w:r>
      <w:r w:rsidR="00730CDB">
        <w:rPr>
          <w:rFonts w:ascii="David" w:hAnsi="David" w:cs="David" w:hint="cs"/>
          <w:sz w:val="24"/>
          <w:szCs w:val="24"/>
          <w:rtl/>
        </w:rPr>
        <w:t xml:space="preserve">הועלתה </w:t>
      </w:r>
      <w:r w:rsidR="00730CDB">
        <w:rPr>
          <w:rFonts w:ascii="David" w:hAnsi="David" w:cs="David"/>
          <w:sz w:val="24"/>
          <w:szCs w:val="24"/>
          <w:rtl/>
        </w:rPr>
        <w:t>לצור</w:t>
      </w:r>
      <w:r w:rsidR="00730CDB">
        <w:rPr>
          <w:rFonts w:ascii="David" w:hAnsi="David" w:cs="David" w:hint="cs"/>
          <w:sz w:val="24"/>
          <w:szCs w:val="24"/>
          <w:rtl/>
        </w:rPr>
        <w:t>כי</w:t>
      </w:r>
      <w:r>
        <w:rPr>
          <w:rFonts w:ascii="David" w:hAnsi="David" w:cs="David"/>
          <w:sz w:val="24"/>
          <w:szCs w:val="24"/>
          <w:rtl/>
        </w:rPr>
        <w:t xml:space="preserve"> פשרה והסדר כולל ואין בכוחה לבסס משפטית מינוי מומחה בשלב מוקדם. עוד נקבע כי ביקור במקום בשלב מוקדם זה לא יסייע לקדם הכרעה מהירה במחלוקת. חמישית, נקבע כי לו היה נעתר בית משפט קמא לבקשה, לא היה מדובר בסוף פסוק בכל הנוגע למינוי מומחים בהליכים שעניינם חלוקת ע</w:t>
      </w:r>
      <w:r w:rsidR="00730CDB">
        <w:rPr>
          <w:rFonts w:ascii="David" w:hAnsi="David" w:cs="David" w:hint="cs"/>
          <w:sz w:val="24"/>
          <w:szCs w:val="24"/>
          <w:rtl/>
        </w:rPr>
        <w:t>י</w:t>
      </w:r>
      <w:r>
        <w:rPr>
          <w:rFonts w:ascii="David" w:hAnsi="David" w:cs="David"/>
          <w:sz w:val="24"/>
          <w:szCs w:val="24"/>
          <w:rtl/>
        </w:rPr>
        <w:t xml:space="preserve">זבון לפי צוואה שקוימה. </w:t>
      </w:r>
    </w:p>
    <w:p w:rsidR="00730CDB" w:rsidRPr="00730CDB" w:rsidRDefault="00730CDB" w:rsidP="00730CDB">
      <w:pPr>
        <w:pStyle w:val="ad"/>
        <w:rPr>
          <w:rFonts w:ascii="David" w:hAnsi="David" w:cs="David"/>
          <w:sz w:val="24"/>
          <w:szCs w:val="24"/>
          <w:rtl/>
        </w:rPr>
      </w:pPr>
    </w:p>
    <w:p w:rsidR="00730CDB" w:rsidRDefault="00730CDB" w:rsidP="0016546E">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המבקש השלים בשעתו עם החלטת בית משפט קמא ולא חלק עליה.</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דיון שהתקיים במעמד הצדדים ביום 28.02.2024, ביום 17.03.2024 </w:t>
      </w:r>
      <w:r w:rsidR="00730CDB">
        <w:rPr>
          <w:rFonts w:ascii="David" w:hAnsi="David" w:cs="David" w:hint="cs"/>
          <w:sz w:val="24"/>
          <w:szCs w:val="24"/>
          <w:rtl/>
        </w:rPr>
        <w:t>שב המב</w:t>
      </w:r>
      <w:r w:rsidR="00083626">
        <w:rPr>
          <w:rFonts w:ascii="David" w:hAnsi="David" w:cs="David" w:hint="cs"/>
          <w:sz w:val="24"/>
          <w:szCs w:val="24"/>
          <w:rtl/>
        </w:rPr>
        <w:t>קש ו</w:t>
      </w:r>
      <w:r w:rsidR="00083626">
        <w:rPr>
          <w:rFonts w:ascii="David" w:hAnsi="David" w:cs="David"/>
          <w:sz w:val="24"/>
          <w:szCs w:val="24"/>
          <w:rtl/>
        </w:rPr>
        <w:t xml:space="preserve">הגיש </w:t>
      </w:r>
      <w:r>
        <w:rPr>
          <w:rFonts w:ascii="David" w:hAnsi="David" w:cs="David"/>
          <w:sz w:val="24"/>
          <w:szCs w:val="24"/>
          <w:rtl/>
        </w:rPr>
        <w:t>בק</w:t>
      </w:r>
      <w:r w:rsidR="00083626">
        <w:rPr>
          <w:rFonts w:ascii="David" w:hAnsi="David" w:cs="David"/>
          <w:sz w:val="24"/>
          <w:szCs w:val="24"/>
          <w:rtl/>
        </w:rPr>
        <w:t>שה למינוי שמאי כמומחה מטעם בית המשפט,</w:t>
      </w:r>
      <w:r w:rsidR="00083626">
        <w:rPr>
          <w:rFonts w:ascii="David" w:hAnsi="David" w:cs="David" w:hint="cs"/>
          <w:sz w:val="24"/>
          <w:szCs w:val="24"/>
          <w:rtl/>
        </w:rPr>
        <w:t xml:space="preserve"> והיא</w:t>
      </w:r>
      <w:r>
        <w:rPr>
          <w:rFonts w:ascii="David" w:hAnsi="David" w:cs="David"/>
          <w:sz w:val="24"/>
          <w:szCs w:val="24"/>
          <w:rtl/>
        </w:rPr>
        <w:t xml:space="preserve"> דומה במהותה לבקשתו הקודמת. נטען כי חוות דעת שמאי נדרשת באותה העת לצורך הליך גישור אליו הופנו הצדדים בהסכמתם. </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17.05.2024 הגישו המשיבות תגובתן לבקשה למינוי שמאי במסגרתה טענו כי מדובר בבקשה שניה באותו נושא המהווה "ערעור" על החלטת בית משפט קמא שניתנה ביום 18.07.2023 שם נקבע כי אין למנות שמאי לפני שמכריעים במחלוקת בין הצדדים. עוד נטען כי אין מקום למנות שמאי אלא לפרסם הנכס למכירה ולאפשר לכל אחד מהיורשים להציע סכום גבוה יותר מההצעה הגבוהה ביותר שתתקבל ממציע חיצוני. </w:t>
      </w:r>
    </w:p>
    <w:p w:rsidR="0016546E" w:rsidRDefault="0016546E" w:rsidP="0016546E">
      <w:pPr>
        <w:pStyle w:val="ad"/>
        <w:spacing w:line="360" w:lineRule="auto"/>
        <w:jc w:val="both"/>
        <w:rPr>
          <w:rFonts w:ascii="David" w:hAnsi="David" w:cs="David"/>
          <w:sz w:val="24"/>
          <w:szCs w:val="24"/>
        </w:rPr>
      </w:pPr>
    </w:p>
    <w:p w:rsidR="00BA1C3F" w:rsidRDefault="0016546E" w:rsidP="00304E5F">
      <w:pPr>
        <w:spacing w:line="360" w:lineRule="auto"/>
        <w:jc w:val="both"/>
        <w:rPr>
          <w:rFonts w:ascii="David" w:hAnsi="David"/>
          <w:b/>
          <w:bCs/>
        </w:rPr>
      </w:pPr>
      <w:r>
        <w:rPr>
          <w:rFonts w:ascii="David" w:hAnsi="David"/>
          <w:b/>
          <w:bCs/>
          <w:rtl/>
        </w:rPr>
        <w:t>החלטת בית משפט קמא:</w:t>
      </w: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19.05.2024 ניתנה החלטת בית משפט קמא מושא בקשת רשות הערעור במסגרתה נדחתה בקשת המבקש למינו</w:t>
      </w:r>
      <w:r w:rsidR="00083626">
        <w:rPr>
          <w:rFonts w:ascii="David" w:hAnsi="David" w:cs="David"/>
          <w:sz w:val="24"/>
          <w:szCs w:val="24"/>
          <w:rtl/>
        </w:rPr>
        <w:t>י שמאי</w:t>
      </w:r>
      <w:r>
        <w:rPr>
          <w:rFonts w:ascii="David" w:hAnsi="David" w:cs="David"/>
          <w:sz w:val="24"/>
          <w:szCs w:val="24"/>
          <w:rtl/>
        </w:rPr>
        <w:t>, תוך חיוב המבקש בהוצאות המשיבות בסך של 1,000 ₪. נקבע כי אמנם ההחלטה מי</w:t>
      </w:r>
      <w:r w:rsidR="00083626">
        <w:rPr>
          <w:rFonts w:ascii="David" w:hAnsi="David" w:cs="David"/>
          <w:sz w:val="24"/>
          <w:szCs w:val="24"/>
          <w:rtl/>
        </w:rPr>
        <w:t xml:space="preserve">ום 18.07.2023 היא החלטת ביניים </w:t>
      </w:r>
      <w:r w:rsidR="00083626">
        <w:rPr>
          <w:rFonts w:ascii="David" w:hAnsi="David" w:cs="David" w:hint="cs"/>
          <w:sz w:val="24"/>
          <w:szCs w:val="24"/>
          <w:rtl/>
        </w:rPr>
        <w:t>ו</w:t>
      </w:r>
      <w:r>
        <w:rPr>
          <w:rFonts w:ascii="David" w:hAnsi="David" w:cs="David"/>
          <w:sz w:val="24"/>
          <w:szCs w:val="24"/>
          <w:rtl/>
        </w:rPr>
        <w:t xml:space="preserve">בית המשפט יכול לבחון אותה מחדש ככל שחל שינוי נסיבות, אך במקרה דנן הסכמת הצדדים לפנות לגישור אינה בבחינת שינוי נסיבות המצדיק לשנות את ההחלטה הקודמת. נקבע כי כל עוד המגשרת לא פנתה בנושא לבית המשפט, אין לומר כי יש הצדקה לשנות את ההחלטה הקודמת על נימוקיה. </w:t>
      </w:r>
    </w:p>
    <w:p w:rsidR="00BA1C3F" w:rsidRDefault="0016546E" w:rsidP="00304E5F">
      <w:pPr>
        <w:spacing w:line="360" w:lineRule="auto"/>
        <w:jc w:val="both"/>
        <w:rPr>
          <w:rFonts w:ascii="David" w:hAnsi="David"/>
          <w:b/>
          <w:bCs/>
          <w:rtl/>
        </w:rPr>
      </w:pPr>
      <w:r>
        <w:rPr>
          <w:rFonts w:ascii="David" w:hAnsi="David"/>
          <w:b/>
          <w:bCs/>
          <w:rtl/>
        </w:rPr>
        <w:t>טענות המבקש בבקשת רשות הערעור:</w:t>
      </w: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 מיאן להשלים עם החלטת בית משפט קמא והגיש את בקשת רשות הערעור המונחת כעת בפניי. </w:t>
      </w:r>
    </w:p>
    <w:p w:rsidR="0016546E" w:rsidRDefault="0016546E" w:rsidP="0016546E">
      <w:pPr>
        <w:pStyle w:val="ad"/>
        <w:spacing w:line="360" w:lineRule="auto"/>
        <w:jc w:val="both"/>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המבקש, בירור ח</w:t>
      </w:r>
      <w:r w:rsidR="00083626">
        <w:rPr>
          <w:rFonts w:ascii="David" w:hAnsi="David" w:cs="David"/>
          <w:sz w:val="24"/>
          <w:szCs w:val="24"/>
          <w:rtl/>
        </w:rPr>
        <w:t>לק משמעותי מרכיבי תביעתו מחייב</w:t>
      </w:r>
      <w:r>
        <w:rPr>
          <w:rFonts w:ascii="David" w:hAnsi="David" w:cs="David"/>
          <w:sz w:val="24"/>
          <w:szCs w:val="24"/>
          <w:rtl/>
        </w:rPr>
        <w:t xml:space="preserve"> כימות וקביעות של מומחה מסוג של שמאי, אשר יוסמך לתת חוות דעתו וכי גם תביעת המשיבות כוללת רכיבים המחייבים מינוי שמאי. עוד לטענת המבקש אין כל טעם בדחיית מינוי שמאי לעת מתן פסק הדין, שכן אז, הסכסוך יידע עוד גלגולים.</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לטענתו אף אם יסתבר כי לא היה מקום למנות שמאי הדבר ימצא מענה בהוצאות משפט לחובתו וכי ככל ויימצא בסופו של יום כי יש צורך במינוי שמאי שלא מונה, ייגרם </w:t>
      </w:r>
      <w:r>
        <w:rPr>
          <w:rFonts w:ascii="David" w:hAnsi="David" w:cs="David"/>
          <w:sz w:val="24"/>
          <w:szCs w:val="24"/>
          <w:rtl/>
        </w:rPr>
        <w:lastRenderedPageBreak/>
        <w:t xml:space="preserve">נזק רב המתבטא בהמשך ההתדיינות המשפטית והגשת תביעה נוספת. לטענתו מדובר בעיתוי נכון למינוי מומחה לפני מועד שמיעת ההוכחות בבית משפט קמא. </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 טוען כי הוא רכש מעמד של "בר רשות בלתי הדירה" בדירת המגורים בה הוא מתגורר יחד עם משפחתו, אשר בנוי על המקרקעין בצמוד לבית המנוחה, מכוח הסכם בינו לבין המנוחה אשר מש</w:t>
      </w:r>
      <w:r w:rsidR="00083626">
        <w:rPr>
          <w:rFonts w:ascii="David" w:hAnsi="David" w:cs="David"/>
          <w:sz w:val="24"/>
          <w:szCs w:val="24"/>
          <w:rtl/>
        </w:rPr>
        <w:t xml:space="preserve">תמע מהתנהגותם במשך שני עשורים </w:t>
      </w:r>
      <w:r w:rsidR="00083626">
        <w:rPr>
          <w:rFonts w:ascii="David" w:hAnsi="David" w:cs="David" w:hint="cs"/>
          <w:sz w:val="24"/>
          <w:szCs w:val="24"/>
          <w:rtl/>
        </w:rPr>
        <w:t>ואשר נ</w:t>
      </w:r>
      <w:r>
        <w:rPr>
          <w:rFonts w:ascii="David" w:hAnsi="David" w:cs="David"/>
          <w:sz w:val="24"/>
          <w:szCs w:val="24"/>
          <w:rtl/>
        </w:rPr>
        <w:t xml:space="preserve">יתן </w:t>
      </w:r>
      <w:r w:rsidR="00083626">
        <w:rPr>
          <w:rFonts w:ascii="David" w:hAnsi="David" w:cs="David" w:hint="cs"/>
          <w:sz w:val="24"/>
          <w:szCs w:val="24"/>
          <w:rtl/>
        </w:rPr>
        <w:t xml:space="preserve">לו </w:t>
      </w:r>
      <w:r w:rsidR="00083626">
        <w:rPr>
          <w:rFonts w:ascii="David" w:hAnsi="David" w:cs="David"/>
          <w:sz w:val="24"/>
          <w:szCs w:val="24"/>
          <w:rtl/>
        </w:rPr>
        <w:t>בתמורה להשקעות כספי</w:t>
      </w:r>
      <w:r w:rsidR="00083626">
        <w:rPr>
          <w:rFonts w:ascii="David" w:hAnsi="David" w:cs="David" w:hint="cs"/>
          <w:sz w:val="24"/>
          <w:szCs w:val="24"/>
          <w:rtl/>
        </w:rPr>
        <w:t>ות</w:t>
      </w:r>
      <w:r>
        <w:rPr>
          <w:rFonts w:ascii="David" w:hAnsi="David" w:cs="David"/>
          <w:sz w:val="24"/>
          <w:szCs w:val="24"/>
          <w:rtl/>
        </w:rPr>
        <w:t xml:space="preserve"> משמעותיות מצידו המחייבות הערכה של מומחה מטעם בית המשפט.</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הפנה המבקש לסעיף 3 להחלטת בית משפט קמא מיום 17.02.2023 (ת"ע 27737-06-22, 32184-07-22, 32134-07-22) בציינו כי בית משפט קמא מראשית ההליכים ראה לנכון למנות שמאי ואף המליץ לצדדים להסכים לכך. </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על כן, טוען המבקש כי יש להיעתר לבקשה למינוי מומחה מטעם בית המשפט. </w:t>
      </w:r>
    </w:p>
    <w:p w:rsidR="0016546E" w:rsidRDefault="0016546E" w:rsidP="0016546E">
      <w:pPr>
        <w:pStyle w:val="ad"/>
        <w:rPr>
          <w:rFonts w:ascii="David" w:hAnsi="David" w:cs="David"/>
          <w:sz w:val="24"/>
          <w:szCs w:val="24"/>
        </w:rPr>
      </w:pPr>
    </w:p>
    <w:p w:rsidR="0016546E" w:rsidRDefault="00BF0C96"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המשיבות הגישו ת</w:t>
      </w:r>
      <w:r>
        <w:rPr>
          <w:rFonts w:ascii="David" w:hAnsi="David" w:cs="David" w:hint="cs"/>
          <w:sz w:val="24"/>
          <w:szCs w:val="24"/>
          <w:rtl/>
        </w:rPr>
        <w:t>שובתן</w:t>
      </w:r>
      <w:r w:rsidR="0016546E">
        <w:rPr>
          <w:rFonts w:ascii="David" w:hAnsi="David" w:cs="David"/>
          <w:sz w:val="24"/>
          <w:szCs w:val="24"/>
          <w:rtl/>
        </w:rPr>
        <w:t xml:space="preserve"> ביום 17.07.2024 על אף ש</w:t>
      </w:r>
      <w:r>
        <w:rPr>
          <w:rFonts w:ascii="David" w:hAnsi="David" w:cs="David" w:hint="cs"/>
          <w:sz w:val="24"/>
          <w:szCs w:val="24"/>
          <w:rtl/>
        </w:rPr>
        <w:t xml:space="preserve">זו </w:t>
      </w:r>
      <w:r w:rsidR="0016546E">
        <w:rPr>
          <w:rFonts w:ascii="David" w:hAnsi="David" w:cs="David"/>
          <w:sz w:val="24"/>
          <w:szCs w:val="24"/>
          <w:rtl/>
        </w:rPr>
        <w:t>לא נתבקשה</w:t>
      </w:r>
      <w:r w:rsidR="000D15F5">
        <w:rPr>
          <w:rFonts w:ascii="David" w:hAnsi="David" w:cs="David" w:hint="cs"/>
          <w:sz w:val="24"/>
          <w:szCs w:val="24"/>
          <w:rtl/>
        </w:rPr>
        <w:t>,</w:t>
      </w:r>
      <w:r w:rsidR="0016546E">
        <w:rPr>
          <w:rFonts w:ascii="David" w:hAnsi="David" w:cs="David"/>
          <w:sz w:val="24"/>
          <w:szCs w:val="24"/>
          <w:rtl/>
        </w:rPr>
        <w:t xml:space="preserve"> במסגרתה נטען כי בית משפט קמא דחה פעמיים בקשה למינוי שמאי באומרו כי אין מקום למינוי שמאי לפני ההכרעה במחלוק</w:t>
      </w:r>
      <w:r w:rsidR="00C54F92">
        <w:rPr>
          <w:rFonts w:ascii="David" w:hAnsi="David" w:cs="David" w:hint="cs"/>
          <w:sz w:val="24"/>
          <w:szCs w:val="24"/>
          <w:rtl/>
        </w:rPr>
        <w:t>ו</w:t>
      </w:r>
      <w:r w:rsidR="0016546E">
        <w:rPr>
          <w:rFonts w:ascii="David" w:hAnsi="David" w:cs="David"/>
          <w:sz w:val="24"/>
          <w:szCs w:val="24"/>
          <w:rtl/>
        </w:rPr>
        <w:t xml:space="preserve">ת ובקשת רשות הערעור הוגשה שלא כדין שכן מדובר בבקשה זהה לבקשה קודמת שהגיש המבקש. עוד טענו כי המבקש מעוניין למנות שמאי על מנת שיחווה דעתו בזכויות שהמבקש לא טרח להוכיח ושאין לו כל זכות משפטית לקבלן. </w:t>
      </w:r>
    </w:p>
    <w:p w:rsidR="00BA1C3F" w:rsidRDefault="0016546E" w:rsidP="00304E5F">
      <w:pPr>
        <w:spacing w:line="360" w:lineRule="auto"/>
        <w:jc w:val="both"/>
        <w:rPr>
          <w:rFonts w:ascii="David" w:hAnsi="David"/>
          <w:b/>
          <w:bCs/>
          <w:rtl/>
        </w:rPr>
      </w:pPr>
      <w:r>
        <w:rPr>
          <w:rFonts w:ascii="David" w:hAnsi="David"/>
          <w:b/>
          <w:bCs/>
          <w:rtl/>
        </w:rPr>
        <w:t xml:space="preserve">דיון והכרעה: </w:t>
      </w: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קריאה מעמיקה של בקשת רשות הערעור על נספחיה ושל תיק בית משפט קמ</w:t>
      </w:r>
      <w:r w:rsidR="00BF0C96">
        <w:rPr>
          <w:rFonts w:ascii="David" w:hAnsi="David" w:cs="David"/>
          <w:sz w:val="24"/>
          <w:szCs w:val="24"/>
          <w:rtl/>
        </w:rPr>
        <w:t>א מצאתי כי יש לדחו</w:t>
      </w:r>
      <w:r w:rsidR="00BF0C96">
        <w:rPr>
          <w:rFonts w:ascii="David" w:hAnsi="David" w:cs="David" w:hint="cs"/>
          <w:sz w:val="24"/>
          <w:szCs w:val="24"/>
          <w:rtl/>
        </w:rPr>
        <w:t>תה.</w:t>
      </w:r>
    </w:p>
    <w:p w:rsidR="0016546E" w:rsidRDefault="0016546E" w:rsidP="0016546E">
      <w:pPr>
        <w:pStyle w:val="ad"/>
        <w:spacing w:line="360" w:lineRule="auto"/>
        <w:jc w:val="both"/>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עניינה של בקשת רשות הערעור שבפני היא החלטת ביניים של בית משפט קמא, במסגרתה נדחתה בקשה למינוי שמאי על מנת שיחווה דעתו בדבר </w:t>
      </w:r>
      <w:r w:rsidR="00C54F92">
        <w:rPr>
          <w:rFonts w:ascii="David" w:hAnsi="David" w:cs="David"/>
          <w:sz w:val="24"/>
          <w:szCs w:val="24"/>
          <w:rtl/>
        </w:rPr>
        <w:t>אפשרו</w:t>
      </w:r>
      <w:r>
        <w:rPr>
          <w:rFonts w:ascii="David" w:hAnsi="David" w:cs="David"/>
          <w:sz w:val="24"/>
          <w:szCs w:val="24"/>
          <w:rtl/>
        </w:rPr>
        <w:t>ת פירוק השיתוף בעין,</w:t>
      </w:r>
      <w:r w:rsidR="00C54F92">
        <w:rPr>
          <w:rFonts w:ascii="David" w:hAnsi="David" w:cs="David" w:hint="cs"/>
          <w:sz w:val="24"/>
          <w:szCs w:val="24"/>
          <w:rtl/>
        </w:rPr>
        <w:t xml:space="preserve"> וכן על מנת</w:t>
      </w:r>
      <w:r>
        <w:rPr>
          <w:rFonts w:ascii="David" w:hAnsi="David" w:cs="David"/>
          <w:sz w:val="24"/>
          <w:szCs w:val="24"/>
          <w:rtl/>
        </w:rPr>
        <w:t xml:space="preserve"> </w:t>
      </w:r>
      <w:r w:rsidR="00C54F92">
        <w:rPr>
          <w:rFonts w:ascii="David" w:hAnsi="David" w:cs="David" w:hint="cs"/>
          <w:sz w:val="24"/>
          <w:szCs w:val="24"/>
          <w:rtl/>
        </w:rPr>
        <w:t>ש</w:t>
      </w:r>
      <w:r>
        <w:rPr>
          <w:rFonts w:ascii="David" w:hAnsi="David" w:cs="David"/>
          <w:sz w:val="24"/>
          <w:szCs w:val="24"/>
          <w:rtl/>
        </w:rPr>
        <w:t>יבצע הערכת שווי נפרדת של הבתים המצויים במקרקעין, יעריך שווי הנכס בכללותו לצורך מכר הנכס בשוק החופשי, יעריך דמי שימוש ראויים בגין כל בית</w:t>
      </w:r>
      <w:r w:rsidR="00C54F92">
        <w:rPr>
          <w:rFonts w:ascii="David" w:hAnsi="David" w:cs="David" w:hint="cs"/>
          <w:sz w:val="24"/>
          <w:szCs w:val="24"/>
          <w:rtl/>
        </w:rPr>
        <w:t xml:space="preserve"> ובגין</w:t>
      </w:r>
      <w:r w:rsidR="00C54F92">
        <w:rPr>
          <w:rFonts w:ascii="David" w:hAnsi="David" w:cs="David"/>
          <w:sz w:val="24"/>
          <w:szCs w:val="24"/>
          <w:rtl/>
        </w:rPr>
        <w:t xml:space="preserve"> </w:t>
      </w:r>
      <w:r>
        <w:rPr>
          <w:rFonts w:ascii="David" w:hAnsi="David" w:cs="David"/>
          <w:sz w:val="24"/>
          <w:szCs w:val="24"/>
          <w:rtl/>
        </w:rPr>
        <w:t>הנכס כולו, יעריך שווי ביטול רשות המגורים בבית המבקש ויעריך את שווי ההשבחה בנכס בגין העבודות</w:t>
      </w:r>
      <w:r w:rsidR="00C54F92">
        <w:rPr>
          <w:rFonts w:ascii="David" w:hAnsi="David" w:cs="David"/>
          <w:sz w:val="24"/>
          <w:szCs w:val="24"/>
          <w:rtl/>
        </w:rPr>
        <w:t xml:space="preserve"> שביצע המבקש </w:t>
      </w:r>
      <w:r w:rsidR="00C54F92">
        <w:rPr>
          <w:rFonts w:ascii="David" w:hAnsi="David" w:cs="David" w:hint="cs"/>
          <w:sz w:val="24"/>
          <w:szCs w:val="24"/>
          <w:rtl/>
        </w:rPr>
        <w:t>ב</w:t>
      </w:r>
      <w:r>
        <w:rPr>
          <w:rFonts w:ascii="David" w:hAnsi="David" w:cs="David"/>
          <w:sz w:val="24"/>
          <w:szCs w:val="24"/>
          <w:rtl/>
        </w:rPr>
        <w:t xml:space="preserve">בניית ביתו. </w:t>
      </w:r>
    </w:p>
    <w:p w:rsidR="0016546E" w:rsidRDefault="0016546E" w:rsidP="0016546E">
      <w:pPr>
        <w:pStyle w:val="ad"/>
        <w:rPr>
          <w:rFonts w:ascii="David" w:hAnsi="David" w:cs="David"/>
          <w:sz w:val="24"/>
          <w:szCs w:val="24"/>
        </w:rPr>
      </w:pPr>
    </w:p>
    <w:p w:rsidR="0016546E" w:rsidRDefault="0016546E"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 הגיש את בקשתו בשנית, זא</w:t>
      </w:r>
      <w:r w:rsidR="00C54F92">
        <w:rPr>
          <w:rFonts w:ascii="David" w:hAnsi="David" w:cs="David"/>
          <w:sz w:val="24"/>
          <w:szCs w:val="24"/>
          <w:rtl/>
        </w:rPr>
        <w:t>ת לאחר שהצדדים פנו לגישור</w:t>
      </w:r>
      <w:r>
        <w:rPr>
          <w:rFonts w:ascii="David" w:hAnsi="David" w:cs="David"/>
          <w:sz w:val="24"/>
          <w:szCs w:val="24"/>
          <w:rtl/>
        </w:rPr>
        <w:t xml:space="preserve"> ולטענת המבקש חוות דעת השמאי נחוצה במסגרת הליך הגישור, תסייע בניהול המו"מ, ותהווה בסיס להמשך </w:t>
      </w:r>
      <w:r w:rsidR="00C54F92">
        <w:rPr>
          <w:rFonts w:ascii="David" w:hAnsi="David" w:cs="David" w:hint="cs"/>
          <w:sz w:val="24"/>
          <w:szCs w:val="24"/>
          <w:rtl/>
        </w:rPr>
        <w:t>ה</w:t>
      </w:r>
      <w:r>
        <w:rPr>
          <w:rFonts w:ascii="David" w:hAnsi="David" w:cs="David"/>
          <w:sz w:val="24"/>
          <w:szCs w:val="24"/>
          <w:rtl/>
        </w:rPr>
        <w:t xml:space="preserve">התדיינות </w:t>
      </w:r>
      <w:r w:rsidR="00C54F92">
        <w:rPr>
          <w:rFonts w:ascii="David" w:hAnsi="David" w:cs="David" w:hint="cs"/>
          <w:sz w:val="24"/>
          <w:szCs w:val="24"/>
          <w:rtl/>
        </w:rPr>
        <w:t>ה</w:t>
      </w:r>
      <w:r>
        <w:rPr>
          <w:rFonts w:ascii="David" w:hAnsi="David" w:cs="David"/>
          <w:sz w:val="24"/>
          <w:szCs w:val="24"/>
          <w:rtl/>
        </w:rPr>
        <w:t>משפטית ככל והגישור לא יצלח.</w:t>
      </w:r>
    </w:p>
    <w:p w:rsidR="0016546E" w:rsidRDefault="0016546E" w:rsidP="0016546E">
      <w:pPr>
        <w:pStyle w:val="ad"/>
        <w:rPr>
          <w:rFonts w:ascii="David" w:hAnsi="David" w:cs="David"/>
          <w:sz w:val="24"/>
          <w:szCs w:val="24"/>
        </w:rPr>
      </w:pPr>
    </w:p>
    <w:p w:rsidR="0016546E" w:rsidRDefault="00B520EB" w:rsidP="0016546E">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מסכים אני עם ה</w:t>
      </w:r>
      <w:r>
        <w:rPr>
          <w:rFonts w:ascii="David" w:hAnsi="David" w:cs="David" w:hint="cs"/>
          <w:sz w:val="24"/>
          <w:szCs w:val="24"/>
          <w:rtl/>
        </w:rPr>
        <w:t xml:space="preserve">חלטת </w:t>
      </w:r>
      <w:r w:rsidR="0016546E">
        <w:rPr>
          <w:rFonts w:ascii="David" w:hAnsi="David" w:cs="David"/>
          <w:sz w:val="24"/>
          <w:szCs w:val="24"/>
          <w:rtl/>
        </w:rPr>
        <w:t xml:space="preserve">בית משפט קמא כי הסכמת הצדדים לפנות להליך גישור, </w:t>
      </w:r>
      <w:r w:rsidR="00C54F92">
        <w:rPr>
          <w:rFonts w:ascii="David" w:hAnsi="David" w:cs="David" w:hint="cs"/>
          <w:sz w:val="24"/>
          <w:szCs w:val="24"/>
          <w:rtl/>
        </w:rPr>
        <w:t xml:space="preserve">אינה בגדר </w:t>
      </w:r>
      <w:r w:rsidR="0016546E">
        <w:rPr>
          <w:rFonts w:ascii="David" w:hAnsi="David" w:cs="David"/>
          <w:sz w:val="24"/>
          <w:szCs w:val="24"/>
          <w:rtl/>
        </w:rPr>
        <w:t>שינוי נסיבות אשר מצדיק שינוי החלטה קודמת בעניין מינוי השמאי. על המבקש להצביע על שינוי נסיבות שחל מאז ניתנה ההחלטה הקודמת ביום 18.07.2023</w:t>
      </w:r>
      <w:r>
        <w:rPr>
          <w:rFonts w:ascii="David" w:hAnsi="David" w:cs="David"/>
          <w:sz w:val="24"/>
          <w:szCs w:val="24"/>
          <w:rtl/>
        </w:rPr>
        <w:t>, המצדיק בחינה מחודשת של בקשתו</w:t>
      </w:r>
      <w:r>
        <w:rPr>
          <w:rFonts w:ascii="David" w:hAnsi="David" w:cs="David" w:hint="cs"/>
          <w:sz w:val="24"/>
          <w:szCs w:val="24"/>
          <w:rtl/>
        </w:rPr>
        <w:t>.</w:t>
      </w:r>
    </w:p>
    <w:p w:rsidR="0016546E" w:rsidRDefault="0016546E" w:rsidP="0016546E">
      <w:pPr>
        <w:pStyle w:val="ad"/>
        <w:rPr>
          <w:rFonts w:ascii="David" w:hAnsi="David" w:cs="David"/>
          <w:sz w:val="24"/>
          <w:szCs w:val="24"/>
        </w:rPr>
      </w:pPr>
    </w:p>
    <w:p w:rsidR="00056848" w:rsidRDefault="0016546E" w:rsidP="00D22306">
      <w:pPr>
        <w:pStyle w:val="ad"/>
        <w:numPr>
          <w:ilvl w:val="0"/>
          <w:numId w:val="1"/>
        </w:numPr>
        <w:spacing w:line="360" w:lineRule="auto"/>
        <w:jc w:val="both"/>
        <w:rPr>
          <w:rFonts w:ascii="David" w:hAnsi="David" w:cs="David"/>
          <w:sz w:val="24"/>
          <w:szCs w:val="24"/>
        </w:rPr>
      </w:pPr>
      <w:r w:rsidRPr="00BF0C96">
        <w:rPr>
          <w:rFonts w:ascii="David" w:hAnsi="David" w:cs="David"/>
          <w:sz w:val="24"/>
          <w:szCs w:val="24"/>
          <w:rtl/>
        </w:rPr>
        <w:t>למעלה מן הצורך, סבור אני</w:t>
      </w:r>
      <w:r w:rsidR="00056848" w:rsidRPr="00BF0C96">
        <w:rPr>
          <w:rFonts w:ascii="David" w:hAnsi="David" w:cs="David" w:hint="cs"/>
          <w:sz w:val="24"/>
          <w:szCs w:val="24"/>
          <w:rtl/>
        </w:rPr>
        <w:t>,</w:t>
      </w:r>
      <w:r w:rsidRPr="00BF0C96">
        <w:rPr>
          <w:rFonts w:ascii="David" w:hAnsi="David" w:cs="David"/>
          <w:sz w:val="24"/>
          <w:szCs w:val="24"/>
          <w:rtl/>
        </w:rPr>
        <w:t xml:space="preserve"> כי </w:t>
      </w:r>
      <w:r w:rsidR="00BD0AFF" w:rsidRPr="00BF0C96">
        <w:rPr>
          <w:rFonts w:ascii="David" w:hAnsi="David" w:cs="David" w:hint="cs"/>
          <w:sz w:val="24"/>
          <w:szCs w:val="24"/>
          <w:rtl/>
        </w:rPr>
        <w:t>נכון נהג בית משפט קמא משלא מינה לכתחילה וגם בהמשך שמאי, ותמים דעי</w:t>
      </w:r>
      <w:r w:rsidR="006C7D79" w:rsidRPr="00BF0C96">
        <w:rPr>
          <w:rFonts w:ascii="David" w:hAnsi="David" w:cs="David" w:hint="cs"/>
          <w:sz w:val="24"/>
          <w:szCs w:val="24"/>
          <w:rtl/>
        </w:rPr>
        <w:t>ם אני עם עמדתו לפיה מן הראוי להכריע תחילה</w:t>
      </w:r>
      <w:r w:rsidRPr="00BF0C96">
        <w:rPr>
          <w:rFonts w:ascii="David" w:hAnsi="David" w:cs="David"/>
          <w:sz w:val="24"/>
          <w:szCs w:val="24"/>
          <w:rtl/>
        </w:rPr>
        <w:t xml:space="preserve"> במחלוקות העו</w:t>
      </w:r>
      <w:r w:rsidR="006C7D79" w:rsidRPr="00BF0C96">
        <w:rPr>
          <w:rFonts w:ascii="David" w:hAnsi="David" w:cs="David"/>
          <w:sz w:val="24"/>
          <w:szCs w:val="24"/>
          <w:rtl/>
        </w:rPr>
        <w:t>בדתיות והמשפטיות טרם מינוי שמאי</w:t>
      </w:r>
      <w:r w:rsidR="00CE02F4" w:rsidRPr="00BF0C96">
        <w:rPr>
          <w:rFonts w:ascii="David" w:hAnsi="David" w:cs="David" w:hint="cs"/>
          <w:sz w:val="24"/>
          <w:szCs w:val="24"/>
          <w:rtl/>
        </w:rPr>
        <w:t xml:space="preserve">. </w:t>
      </w:r>
      <w:r w:rsidR="00BD0AFF" w:rsidRPr="00BF0C96">
        <w:rPr>
          <w:rFonts w:ascii="David" w:hAnsi="David" w:cs="David" w:hint="cs"/>
          <w:sz w:val="24"/>
          <w:szCs w:val="24"/>
          <w:rtl/>
        </w:rPr>
        <w:t xml:space="preserve">אמנם </w:t>
      </w:r>
      <w:r w:rsidR="00BF0C96" w:rsidRPr="00BF0C96">
        <w:rPr>
          <w:rFonts w:ascii="David" w:hAnsi="David" w:cs="David" w:hint="cs"/>
          <w:sz w:val="24"/>
          <w:szCs w:val="24"/>
          <w:rtl/>
        </w:rPr>
        <w:t xml:space="preserve">אך </w:t>
      </w:r>
      <w:r w:rsidR="00822BE5" w:rsidRPr="00BF0C96">
        <w:rPr>
          <w:rFonts w:ascii="David" w:hAnsi="David" w:cs="David" w:hint="cs"/>
          <w:sz w:val="24"/>
          <w:szCs w:val="24"/>
          <w:rtl/>
        </w:rPr>
        <w:t xml:space="preserve">ביחס לטענה בדבר השבחות בגינן </w:t>
      </w:r>
      <w:r w:rsidR="00056848" w:rsidRPr="00BF0C96">
        <w:rPr>
          <w:rFonts w:ascii="David" w:hAnsi="David" w:cs="David" w:hint="cs"/>
          <w:sz w:val="24"/>
          <w:szCs w:val="24"/>
          <w:rtl/>
        </w:rPr>
        <w:t>טוען המבקש כי הוא זכאי לשווין של אלה,</w:t>
      </w:r>
      <w:r w:rsidR="00822BE5" w:rsidRPr="00BF0C96">
        <w:rPr>
          <w:rFonts w:ascii="David" w:hAnsi="David" w:cs="David" w:hint="cs"/>
          <w:sz w:val="24"/>
          <w:szCs w:val="24"/>
          <w:rtl/>
        </w:rPr>
        <w:t xml:space="preserve"> הרי שהוכחתן לרוב</w:t>
      </w:r>
      <w:r w:rsidR="00BD0AFF" w:rsidRPr="00BF0C96">
        <w:rPr>
          <w:rFonts w:ascii="David" w:hAnsi="David" w:cs="David" w:hint="cs"/>
          <w:sz w:val="24"/>
          <w:szCs w:val="24"/>
          <w:rtl/>
        </w:rPr>
        <w:t xml:space="preserve"> שונה מהוכחת יתר הטענות</w:t>
      </w:r>
      <w:r w:rsidR="00822BE5" w:rsidRPr="00BF0C96">
        <w:rPr>
          <w:rFonts w:ascii="David" w:hAnsi="David" w:cs="David" w:hint="cs"/>
          <w:sz w:val="24"/>
          <w:szCs w:val="24"/>
          <w:rtl/>
        </w:rPr>
        <w:t>, ו</w:t>
      </w:r>
      <w:r w:rsidR="00BF0C96" w:rsidRPr="00BF0C96">
        <w:rPr>
          <w:rFonts w:ascii="David" w:hAnsi="David" w:cs="David" w:hint="cs"/>
          <w:sz w:val="24"/>
          <w:szCs w:val="24"/>
          <w:rtl/>
        </w:rPr>
        <w:t>לפעמים</w:t>
      </w:r>
      <w:r w:rsidR="00822BE5" w:rsidRPr="00BF0C96">
        <w:rPr>
          <w:rFonts w:ascii="David" w:hAnsi="David" w:cs="David" w:hint="cs"/>
          <w:sz w:val="24"/>
          <w:szCs w:val="24"/>
          <w:rtl/>
        </w:rPr>
        <w:t xml:space="preserve"> יש </w:t>
      </w:r>
      <w:r w:rsidR="006C7D79" w:rsidRPr="00BF0C96">
        <w:rPr>
          <w:rFonts w:ascii="David" w:hAnsi="David" w:cs="David" w:hint="cs"/>
          <w:sz w:val="24"/>
          <w:szCs w:val="24"/>
          <w:rtl/>
        </w:rPr>
        <w:t xml:space="preserve"> להיעזר בשמאי,</w:t>
      </w:r>
      <w:r w:rsidR="00822BE5" w:rsidRPr="00BF0C96">
        <w:rPr>
          <w:rFonts w:ascii="David" w:hAnsi="David" w:cs="David" w:hint="cs"/>
          <w:sz w:val="24"/>
          <w:szCs w:val="24"/>
          <w:rtl/>
        </w:rPr>
        <w:t xml:space="preserve"> לא רק לשם בחינת שווין אלא לשם הכרעה בשאלה אם אכן בוצעו כאלה, </w:t>
      </w:r>
      <w:r w:rsidR="006C7D79" w:rsidRPr="00BF0C96">
        <w:rPr>
          <w:rFonts w:ascii="David" w:hAnsi="David" w:cs="David" w:hint="cs"/>
          <w:sz w:val="24"/>
          <w:szCs w:val="24"/>
          <w:rtl/>
        </w:rPr>
        <w:t xml:space="preserve"> </w:t>
      </w:r>
      <w:r w:rsidR="00056848" w:rsidRPr="00BF0C96">
        <w:rPr>
          <w:rFonts w:ascii="David" w:hAnsi="David" w:cs="David" w:hint="cs"/>
          <w:sz w:val="24"/>
          <w:szCs w:val="24"/>
          <w:rtl/>
        </w:rPr>
        <w:t xml:space="preserve">באיזה היקף ועוד, </w:t>
      </w:r>
      <w:r w:rsidR="006C7D79" w:rsidRPr="00BF0C96">
        <w:rPr>
          <w:rFonts w:ascii="David" w:hAnsi="David" w:cs="David" w:hint="cs"/>
          <w:sz w:val="24"/>
          <w:szCs w:val="24"/>
          <w:rtl/>
        </w:rPr>
        <w:t xml:space="preserve">אך אין משמעות הדבר כי פטור המבקש מהנחת </w:t>
      </w:r>
      <w:r w:rsidR="00822BE5" w:rsidRPr="00BF0C96">
        <w:rPr>
          <w:rFonts w:ascii="David" w:hAnsi="David" w:cs="David" w:hint="cs"/>
          <w:sz w:val="24"/>
          <w:szCs w:val="24"/>
          <w:rtl/>
        </w:rPr>
        <w:t>תשתית ראייתית, ול</w:t>
      </w:r>
      <w:r w:rsidR="00056848" w:rsidRPr="00BF0C96">
        <w:rPr>
          <w:rFonts w:ascii="David" w:hAnsi="David" w:cs="David" w:hint="cs"/>
          <w:sz w:val="24"/>
          <w:szCs w:val="24"/>
          <w:rtl/>
        </w:rPr>
        <w:t>ו מינימלית, לשם תמיכה בטענתו זו</w:t>
      </w:r>
      <w:r w:rsidR="00BF0C96">
        <w:rPr>
          <w:rFonts w:ascii="David" w:hAnsi="David" w:cs="David" w:hint="cs"/>
          <w:sz w:val="24"/>
          <w:szCs w:val="24"/>
          <w:rtl/>
        </w:rPr>
        <w:t>.</w:t>
      </w:r>
    </w:p>
    <w:p w:rsidR="00BF0C96" w:rsidRPr="00BF0C96" w:rsidRDefault="00BF0C96" w:rsidP="00BF0C96">
      <w:pPr>
        <w:spacing w:line="360" w:lineRule="auto"/>
        <w:jc w:val="both"/>
        <w:rPr>
          <w:rFonts w:ascii="David" w:hAnsi="David"/>
          <w:rtl/>
        </w:rPr>
      </w:pPr>
    </w:p>
    <w:p w:rsidR="0016546E" w:rsidRDefault="00BD0AFF" w:rsidP="006C7D79">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 </w:t>
      </w:r>
      <w:r w:rsidR="00CE02F4">
        <w:rPr>
          <w:rFonts w:ascii="David" w:hAnsi="David" w:cs="David" w:hint="cs"/>
          <w:sz w:val="24"/>
          <w:szCs w:val="24"/>
          <w:rtl/>
        </w:rPr>
        <w:t xml:space="preserve">ודוק: גם אם בסוף ההליך ובשים לב להכרעות שיתקבלו בשלל הטענות שהעלו הצדדים, בין אם אלה בדבר השבחות, בין אם אלה </w:t>
      </w:r>
      <w:r w:rsidR="006C7D79">
        <w:rPr>
          <w:rFonts w:ascii="David" w:hAnsi="David" w:cs="David" w:hint="cs"/>
          <w:sz w:val="24"/>
          <w:szCs w:val="24"/>
          <w:rtl/>
        </w:rPr>
        <w:t>סביב רישיון ושוויו</w:t>
      </w:r>
      <w:r w:rsidR="00304E5F">
        <w:rPr>
          <w:rFonts w:ascii="David" w:hAnsi="David" w:cs="David" w:hint="cs"/>
          <w:sz w:val="24"/>
          <w:szCs w:val="24"/>
          <w:rtl/>
        </w:rPr>
        <w:t>, שיעור דמי השימ</w:t>
      </w:r>
      <w:r w:rsidR="00CE02F4">
        <w:rPr>
          <w:rFonts w:ascii="David" w:hAnsi="David" w:cs="David" w:hint="cs"/>
          <w:sz w:val="24"/>
          <w:szCs w:val="24"/>
          <w:rtl/>
        </w:rPr>
        <w:t>וש ובין אם א</w:t>
      </w:r>
      <w:r w:rsidR="00B520EB">
        <w:rPr>
          <w:rFonts w:ascii="David" w:hAnsi="David" w:cs="David" w:hint="cs"/>
          <w:sz w:val="24"/>
          <w:szCs w:val="24"/>
          <w:rtl/>
        </w:rPr>
        <w:t>חרות, אין כל הצדקה בשלב מוקדם ז</w:t>
      </w:r>
      <w:r w:rsidR="00CE02F4">
        <w:rPr>
          <w:rFonts w:ascii="David" w:hAnsi="David" w:cs="David" w:hint="cs"/>
          <w:sz w:val="24"/>
          <w:szCs w:val="24"/>
          <w:rtl/>
        </w:rPr>
        <w:t>ה, טרם הכרע</w:t>
      </w:r>
      <w:r w:rsidR="006C7D79">
        <w:rPr>
          <w:rFonts w:ascii="David" w:hAnsi="David" w:cs="David" w:hint="cs"/>
          <w:sz w:val="24"/>
          <w:szCs w:val="24"/>
          <w:rtl/>
        </w:rPr>
        <w:t>ה במחלו</w:t>
      </w:r>
      <w:r w:rsidR="00304E5F">
        <w:rPr>
          <w:rFonts w:ascii="David" w:hAnsi="David" w:cs="David" w:hint="cs"/>
          <w:sz w:val="24"/>
          <w:szCs w:val="24"/>
          <w:rtl/>
        </w:rPr>
        <w:t>קות האמורות, להידרש להערכת שווין</w:t>
      </w:r>
      <w:r w:rsidR="00CE02F4">
        <w:rPr>
          <w:rFonts w:ascii="David" w:hAnsi="David" w:cs="David" w:hint="cs"/>
          <w:sz w:val="24"/>
          <w:szCs w:val="24"/>
          <w:rtl/>
        </w:rPr>
        <w:t xml:space="preserve"> במסגרת חוות דעת שמאית, שהרי ההכרעה שתתקבל</w:t>
      </w:r>
      <w:r w:rsidR="006C7D79">
        <w:rPr>
          <w:rFonts w:ascii="David" w:hAnsi="David" w:cs="David" w:hint="cs"/>
          <w:sz w:val="24"/>
          <w:szCs w:val="24"/>
          <w:rtl/>
        </w:rPr>
        <w:t xml:space="preserve"> באותן טענות ומחלוקות</w:t>
      </w:r>
      <w:r w:rsidR="00CE02F4">
        <w:rPr>
          <w:rFonts w:ascii="David" w:hAnsi="David" w:cs="David" w:hint="cs"/>
          <w:sz w:val="24"/>
          <w:szCs w:val="24"/>
          <w:rtl/>
        </w:rPr>
        <w:t xml:space="preserve"> לבטח תי</w:t>
      </w:r>
      <w:r w:rsidR="006C7D79">
        <w:rPr>
          <w:rFonts w:ascii="David" w:hAnsi="David" w:cs="David" w:hint="cs"/>
          <w:sz w:val="24"/>
          <w:szCs w:val="24"/>
          <w:rtl/>
        </w:rPr>
        <w:t xml:space="preserve">יתר הצורך בהערכה </w:t>
      </w:r>
      <w:r w:rsidR="00304E5F">
        <w:rPr>
          <w:rFonts w:ascii="David" w:hAnsi="David" w:cs="David" w:hint="cs"/>
          <w:sz w:val="24"/>
          <w:szCs w:val="24"/>
          <w:rtl/>
        </w:rPr>
        <w:t>שמאית לגבי חלקן</w:t>
      </w:r>
      <w:r w:rsidR="00CE02F4">
        <w:rPr>
          <w:rFonts w:ascii="David" w:hAnsi="David" w:cs="David" w:hint="cs"/>
          <w:sz w:val="24"/>
          <w:szCs w:val="24"/>
          <w:rtl/>
        </w:rPr>
        <w:t xml:space="preserve"> של אלה. יחד </w:t>
      </w:r>
      <w:r w:rsidR="00B520EB">
        <w:rPr>
          <w:rFonts w:ascii="David" w:hAnsi="David" w:cs="David" w:hint="cs"/>
          <w:sz w:val="24"/>
          <w:szCs w:val="24"/>
          <w:rtl/>
        </w:rPr>
        <w:t xml:space="preserve">עם זאת אין </w:t>
      </w:r>
      <w:r w:rsidR="006C7D79">
        <w:rPr>
          <w:rFonts w:ascii="David" w:hAnsi="David" w:cs="David" w:hint="cs"/>
          <w:sz w:val="24"/>
          <w:szCs w:val="24"/>
          <w:rtl/>
        </w:rPr>
        <w:t>ספק כי הערכה שמאית</w:t>
      </w:r>
      <w:r w:rsidR="00056848">
        <w:rPr>
          <w:rFonts w:ascii="David" w:hAnsi="David" w:cs="David" w:hint="cs"/>
          <w:sz w:val="24"/>
          <w:szCs w:val="24"/>
          <w:rtl/>
        </w:rPr>
        <w:t>, אף בשלב מוקדם זה,</w:t>
      </w:r>
      <w:r w:rsidR="006C7D79">
        <w:rPr>
          <w:rFonts w:ascii="David" w:hAnsi="David" w:cs="David" w:hint="cs"/>
          <w:sz w:val="24"/>
          <w:szCs w:val="24"/>
          <w:rtl/>
        </w:rPr>
        <w:t xml:space="preserve"> </w:t>
      </w:r>
      <w:r w:rsidR="00056848">
        <w:rPr>
          <w:rFonts w:ascii="David" w:hAnsi="David" w:cs="David" w:hint="cs"/>
          <w:sz w:val="24"/>
          <w:szCs w:val="24"/>
          <w:rtl/>
        </w:rPr>
        <w:t xml:space="preserve">לפעמים </w:t>
      </w:r>
      <w:r w:rsidR="00B520EB">
        <w:rPr>
          <w:rFonts w:ascii="David" w:hAnsi="David" w:cs="David" w:hint="cs"/>
          <w:sz w:val="24"/>
          <w:szCs w:val="24"/>
          <w:rtl/>
        </w:rPr>
        <w:t>עשויה לסייע לצדדים בהגעה לפשרה ו</w:t>
      </w:r>
      <w:r w:rsidR="006C7D79">
        <w:rPr>
          <w:rFonts w:ascii="David" w:hAnsi="David" w:cs="David" w:hint="cs"/>
          <w:sz w:val="24"/>
          <w:szCs w:val="24"/>
          <w:rtl/>
        </w:rPr>
        <w:t>ל</w:t>
      </w:r>
      <w:r w:rsidR="00B520EB">
        <w:rPr>
          <w:rFonts w:ascii="David" w:hAnsi="David" w:cs="David" w:hint="cs"/>
          <w:sz w:val="24"/>
          <w:szCs w:val="24"/>
          <w:rtl/>
        </w:rPr>
        <w:t xml:space="preserve">הסדר מוסכם, אולם </w:t>
      </w:r>
      <w:r w:rsidR="00056848">
        <w:rPr>
          <w:rFonts w:ascii="David" w:hAnsi="David" w:cs="David" w:hint="cs"/>
          <w:sz w:val="24"/>
          <w:szCs w:val="24"/>
          <w:rtl/>
        </w:rPr>
        <w:t>לשם כך יש לקבל הסכמת שניהם</w:t>
      </w:r>
      <w:r w:rsidR="00B520EB">
        <w:rPr>
          <w:rFonts w:ascii="David" w:hAnsi="David" w:cs="David" w:hint="cs"/>
          <w:sz w:val="24"/>
          <w:szCs w:val="24"/>
          <w:rtl/>
        </w:rPr>
        <w:t>.</w:t>
      </w:r>
      <w:r w:rsidR="0016546E">
        <w:rPr>
          <w:rFonts w:ascii="David" w:hAnsi="David" w:cs="David"/>
          <w:sz w:val="24"/>
          <w:szCs w:val="24"/>
          <w:rtl/>
        </w:rPr>
        <w:t xml:space="preserve"> </w:t>
      </w:r>
    </w:p>
    <w:p w:rsidR="0016546E" w:rsidRDefault="0016546E" w:rsidP="0016546E">
      <w:pPr>
        <w:pStyle w:val="ad"/>
        <w:rPr>
          <w:rFonts w:ascii="David" w:hAnsi="David" w:cs="David"/>
          <w:sz w:val="24"/>
          <w:szCs w:val="24"/>
        </w:rPr>
      </w:pPr>
    </w:p>
    <w:p w:rsidR="0016546E" w:rsidRPr="00056848" w:rsidRDefault="0016546E" w:rsidP="00056848">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על כן, אני מורה על דחיית הבקשה.</w:t>
      </w:r>
    </w:p>
    <w:p w:rsidR="00056848" w:rsidRPr="00304E5F" w:rsidRDefault="00056848" w:rsidP="00304E5F">
      <w:pPr>
        <w:pStyle w:val="ad"/>
        <w:spacing w:line="360" w:lineRule="auto"/>
        <w:jc w:val="both"/>
        <w:rPr>
          <w:rFonts w:ascii="David" w:hAnsi="David" w:cs="David"/>
          <w:sz w:val="24"/>
          <w:szCs w:val="24"/>
          <w:rtl/>
        </w:rPr>
      </w:pPr>
      <w:r>
        <w:rPr>
          <w:rFonts w:ascii="David" w:hAnsi="David" w:cs="David"/>
          <w:sz w:val="24"/>
          <w:szCs w:val="24"/>
          <w:rtl/>
        </w:rPr>
        <w:t>משלא נתבקשה ת</w:t>
      </w:r>
      <w:r>
        <w:rPr>
          <w:rFonts w:ascii="David" w:hAnsi="David" w:cs="David" w:hint="cs"/>
          <w:sz w:val="24"/>
          <w:szCs w:val="24"/>
          <w:rtl/>
        </w:rPr>
        <w:t>שובה</w:t>
      </w:r>
      <w:r>
        <w:rPr>
          <w:rFonts w:ascii="David" w:hAnsi="David" w:cs="David"/>
          <w:sz w:val="24"/>
          <w:szCs w:val="24"/>
          <w:rtl/>
        </w:rPr>
        <w:t>, אי</w:t>
      </w:r>
      <w:r>
        <w:rPr>
          <w:rFonts w:ascii="David" w:hAnsi="David" w:cs="David" w:hint="cs"/>
          <w:sz w:val="24"/>
          <w:szCs w:val="24"/>
          <w:rtl/>
        </w:rPr>
        <w:t>ן</w:t>
      </w:r>
      <w:r>
        <w:rPr>
          <w:rFonts w:ascii="David" w:hAnsi="David" w:cs="David"/>
          <w:sz w:val="24"/>
          <w:szCs w:val="24"/>
          <w:rtl/>
        </w:rPr>
        <w:t xml:space="preserve"> צו להוצאות</w:t>
      </w:r>
      <w:r>
        <w:rPr>
          <w:rFonts w:ascii="David" w:hAnsi="David" w:cs="David" w:hint="cs"/>
          <w:sz w:val="24"/>
          <w:szCs w:val="24"/>
          <w:rtl/>
        </w:rPr>
        <w:t xml:space="preserve"> ו</w:t>
      </w:r>
      <w:r>
        <w:rPr>
          <w:rFonts w:ascii="David" w:hAnsi="David" w:cs="David"/>
          <w:sz w:val="24"/>
          <w:szCs w:val="24"/>
          <w:rtl/>
        </w:rPr>
        <w:t>העירבון, ככל שהופקד, יוחזר למבקש.</w:t>
      </w:r>
    </w:p>
    <w:p w:rsidR="00304E5F" w:rsidRDefault="00304E5F" w:rsidP="00304E5F">
      <w:pPr>
        <w:pStyle w:val="ad"/>
        <w:spacing w:line="360" w:lineRule="auto"/>
        <w:jc w:val="both"/>
        <w:rPr>
          <w:rFonts w:ascii="David" w:hAnsi="David" w:cs="David"/>
          <w:sz w:val="24"/>
          <w:szCs w:val="24"/>
          <w:rtl/>
        </w:rPr>
      </w:pPr>
      <w:r>
        <w:rPr>
          <w:rFonts w:ascii="David" w:hAnsi="David" w:cs="David" w:hint="cs"/>
          <w:sz w:val="24"/>
          <w:szCs w:val="24"/>
          <w:rtl/>
        </w:rPr>
        <w:t>מות</w:t>
      </w:r>
      <w:r w:rsidR="00056848">
        <w:rPr>
          <w:rFonts w:ascii="David" w:hAnsi="David" w:cs="David" w:hint="cs"/>
          <w:sz w:val="24"/>
          <w:szCs w:val="24"/>
          <w:rtl/>
        </w:rPr>
        <w:t>ר לפרסום לאחר מחיקת שמות הצדדים והשמטת פרטים מזהים.</w:t>
      </w:r>
    </w:p>
    <w:p w:rsidR="00304E5F" w:rsidRDefault="00304E5F" w:rsidP="00304E5F">
      <w:pPr>
        <w:pStyle w:val="ad"/>
        <w:spacing w:line="360" w:lineRule="auto"/>
        <w:jc w:val="both"/>
        <w:rPr>
          <w:rFonts w:ascii="Arial" w:hAnsi="Arial"/>
          <w:rtl/>
        </w:rPr>
      </w:pPr>
    </w:p>
    <w:p w:rsidR="00694556" w:rsidRPr="00304E5F" w:rsidRDefault="0043502B" w:rsidP="00304E5F">
      <w:pPr>
        <w:pStyle w:val="ad"/>
        <w:spacing w:line="360" w:lineRule="auto"/>
        <w:jc w:val="both"/>
        <w:rPr>
          <w:rFonts w:ascii="David" w:hAnsi="David" w:cs="David"/>
          <w:sz w:val="24"/>
          <w:szCs w:val="24"/>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ט' אב תשפ"ד</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13 אוגוסט 2024</w:t>
          </w:r>
        </w:sdtContent>
      </w:sdt>
      <w:r w:rsidR="00005C8B">
        <w:rPr>
          <w:rFonts w:ascii="Arial" w:hAnsi="Arial"/>
          <w:rtl/>
        </w:rPr>
        <w:t>, בהעדר הצדדים.</w:t>
      </w:r>
    </w:p>
    <w:p w:rsidR="00C43648" w:rsidRDefault="004E6B2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9720956"/>
        </w:sdtPr>
        <w:sdtEndPr/>
        <w:sdtContent>
          <w:r w:rsidR="00171A34">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6546E">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B2F" w:rsidRDefault="004E6B2F">
      <w:r>
        <w:separator/>
      </w:r>
    </w:p>
  </w:endnote>
  <w:endnote w:type="continuationSeparator" w:id="0">
    <w:p w:rsidR="004E6B2F" w:rsidRDefault="004E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3B5" w:rsidRDefault="008F43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001943">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001943">
      <w:rPr>
        <w:rStyle w:val="ab"/>
        <w:rFonts w:ascii="David" w:hAnsi="David"/>
        <w:rtl/>
      </w:rPr>
      <w:t>5</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3B5" w:rsidRDefault="008F43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B2F" w:rsidRDefault="004E6B2F">
      <w:r>
        <w:separator/>
      </w:r>
    </w:p>
  </w:footnote>
  <w:footnote w:type="continuationSeparator" w:id="0">
    <w:p w:rsidR="004E6B2F" w:rsidRDefault="004E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3B5" w:rsidRDefault="008F43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E6B2F" w:rsidP="008F43B5">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34684-06-24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8F43B5">
                <w:rPr>
                  <w:rFonts w:hint="cs"/>
                  <w:b/>
                  <w:bCs/>
                  <w:noProof w:val="0"/>
                  <w:sz w:val="26"/>
                  <w:szCs w:val="26"/>
                  <w:rtl/>
                </w:rPr>
                <w:t>ב' נ' ד'</w:t>
              </w:r>
              <w:r w:rsidR="00E765F7">
                <w:rPr>
                  <w:b/>
                  <w:bCs/>
                  <w:noProof w:val="0"/>
                  <w:sz w:val="26"/>
                  <w:szCs w:val="26"/>
                  <w:rtl/>
                </w:rPr>
                <w:t xml:space="preserve">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3B5" w:rsidRDefault="008F4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5346"/>
    <w:multiLevelType w:val="hybridMultilevel"/>
    <w:tmpl w:val="4F3C03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165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16567&amp;lt;/CaseID&amp;gt;_x000d__x000a_        &amp;lt;CaseMonth&amp;gt;6&amp;lt;/CaseMonth&amp;gt;_x000d__x000a_        &amp;lt;CaseYear&amp;gt;2024&amp;lt;/CaseYear&amp;gt;_x000d__x000a_        &amp;lt;CaseNumber&amp;gt;34684&amp;lt;/CaseNumber&amp;gt;_x000d__x000a_        &amp;lt;NumeratorGroupID&amp;gt;1&amp;lt;/NumeratorGroupID&amp;gt;_x000d__x000a_        &amp;lt;CaseName&amp;gt;רון נ&amp;#39; רוזמן ואח&amp;#39;&amp;lt;/CaseName&amp;gt;_x000d__x000a_        &amp;lt;CourtID&amp;gt;13&amp;lt;/CourtID&amp;gt;_x000d__x000a_        &amp;lt;CaseTypeID&amp;gt;10074&amp;lt;/CaseTypeID&amp;gt;_x000d__x000a_        &amp;lt;CaseInterestID&amp;gt;10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4684-06-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6-17T07:4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16567&amp;lt;/CaseID&amp;gt;_x000d__x000a_        &amp;lt;CaseMonth&amp;gt;6&amp;lt;/CaseMonth&amp;gt;_x000d__x000a_        &amp;lt;CaseYear&amp;gt;2024&amp;lt;/CaseYear&amp;gt;_x000d__x000a_        &amp;lt;CaseNumber&amp;gt;34684&amp;lt;/CaseNumber&amp;gt;_x000d__x000a_        &amp;lt;NumeratorGroupID&amp;gt;1&amp;lt;/NumeratorGroupID&amp;gt;_x000d__x000a_        &amp;lt;CaseName&amp;gt;רון נ&amp;#39; רוזמן ואח&amp;#39;&amp;lt;/CaseName&amp;gt;_x000d__x000a_        &amp;lt;CourtID&amp;gt;13&amp;lt;/CourtID&amp;gt;_x000d__x000a_        &amp;lt;CaseTypeID&amp;gt;10074&amp;lt;/CaseTypeID&amp;gt;_x000d__x000a_        &amp;lt;CaseInterestID&amp;gt;10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4684-06-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6-17T07:4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93958&amp;lt;/DecisionID&amp;gt;_x000d__x000a_        &amp;lt;DecisionName&amp;gt;החלטה  שניתנה ע&amp;quot;י  סארי ג&amp;#39;יוסי&amp;lt;/DecisionName&amp;gt;_x000d__x000a_        &amp;lt;DecisionStatusID&amp;gt;1&amp;lt;/DecisionStatusID&amp;gt;_x000d__x000a_        &amp;lt;DecisionStatusChangeDate&amp;gt;2024-08-12T11:29:14.97+03:00&amp;lt;/DecisionStatusChangeDate&amp;gt;_x000d__x000a_        &amp;lt;DecisionSignatureDate&amp;gt;2024-08-12T10:48:56.993+03:00&amp;lt;/DecisionSignatureDate&amp;gt;_x000d__x000a_        &amp;lt;DecisionSignatureUserID&amp;gt;023469166@GOV.IL&amp;lt;/DecisionSignatureUserID&amp;gt;_x000d__x000a_        &amp;lt;DecisionCreateDate&amp;gt;2024-08-12T10:49:36.853+03:00&amp;lt;/DecisionCreateDate&amp;gt;_x000d__x000a_        &amp;lt;DecisionChangeDate&amp;gt;2024-08-12T11:29:15.05+03:00&amp;lt;/DecisionChangeDate&amp;gt;_x000d__x000a_        &amp;lt;DecisionChangeUserID&amp;gt;20691118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5332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911182@GOV.IL&amp;lt;/DecisionCreationUserID&amp;gt;_x000d__x000a_        &amp;lt;DecisionDisplayName&amp;gt;החלטה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4393958&amp;lt;/DecisionID&amp;gt;_x000d__x000a_        &amp;lt;CaseID&amp;gt;81316567&amp;lt;/CaseID&amp;gt;_x000d__x000a_        &amp;lt;IsOriginal&amp;gt;true&amp;lt;/IsOriginal&amp;gt;_x000d__x000a_        &amp;lt;IsDeleted&amp;gt;false&amp;lt;/IsDeleted&amp;gt;_x000d__x000a_        &amp;lt;CaseName&amp;gt;רון נ&amp;#39; רוזמן ואח&amp;#39;&amp;lt;/CaseName&amp;gt;_x000d__x000a_        &amp;lt;CaseDisplayIdentifier&amp;gt;34684-06-24 רמ&amp;quot;ש&amp;lt;/CaseDisplayIdentifier&amp;gt;_x000d__x000a_      &amp;lt;/dt_DecisionCase&amp;gt;_x000d__x000a_    &amp;lt;/DecisionDS&amp;gt;_x000d__x000a_  &amp;lt;/diffgr:diffgram&amp;gt;_x000d__x000a_&amp;lt;/DecisionDS&amp;gt;"/>
    <w:docVar w:name="DecisionID" w:val="154393958"/>
    <w:docVar w:name="WordClientAssemblyName" w:val="NGCS.Decision.ClientWordBL"/>
    <w:docVar w:name="WordClientClassName" w:val="NGCS.Decision.ClientWordBL.DecisionClient"/>
  </w:docVars>
  <w:rsids>
    <w:rsidRoot w:val="00694556"/>
    <w:rsid w:val="00000062"/>
    <w:rsid w:val="00001943"/>
    <w:rsid w:val="0000226B"/>
    <w:rsid w:val="00005C8B"/>
    <w:rsid w:val="00007DE0"/>
    <w:rsid w:val="000346CC"/>
    <w:rsid w:val="000529D2"/>
    <w:rsid w:val="000564AB"/>
    <w:rsid w:val="00056848"/>
    <w:rsid w:val="00064FBD"/>
    <w:rsid w:val="00082AB2"/>
    <w:rsid w:val="00083626"/>
    <w:rsid w:val="000906FE"/>
    <w:rsid w:val="00096AF7"/>
    <w:rsid w:val="000B344B"/>
    <w:rsid w:val="000C3B0F"/>
    <w:rsid w:val="000C3B60"/>
    <w:rsid w:val="000D15F5"/>
    <w:rsid w:val="000E0DD2"/>
    <w:rsid w:val="000E3AF1"/>
    <w:rsid w:val="000F0BC8"/>
    <w:rsid w:val="000F0DD6"/>
    <w:rsid w:val="00107E6D"/>
    <w:rsid w:val="0011194C"/>
    <w:rsid w:val="0011424C"/>
    <w:rsid w:val="001173C6"/>
    <w:rsid w:val="001367BC"/>
    <w:rsid w:val="00144D2A"/>
    <w:rsid w:val="0014653E"/>
    <w:rsid w:val="0016546E"/>
    <w:rsid w:val="00171A34"/>
    <w:rsid w:val="00180519"/>
    <w:rsid w:val="00191C82"/>
    <w:rsid w:val="001C4003"/>
    <w:rsid w:val="001D4DBF"/>
    <w:rsid w:val="001E75CA"/>
    <w:rsid w:val="001F6CF4"/>
    <w:rsid w:val="002265FF"/>
    <w:rsid w:val="00235B97"/>
    <w:rsid w:val="00271B56"/>
    <w:rsid w:val="002C344E"/>
    <w:rsid w:val="002E75E9"/>
    <w:rsid w:val="002F0B1E"/>
    <w:rsid w:val="00304E5F"/>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044A"/>
    <w:rsid w:val="0043125D"/>
    <w:rsid w:val="0043502B"/>
    <w:rsid w:val="004443AC"/>
    <w:rsid w:val="00444B02"/>
    <w:rsid w:val="00451E28"/>
    <w:rsid w:val="004549C7"/>
    <w:rsid w:val="00462C62"/>
    <w:rsid w:val="00465D36"/>
    <w:rsid w:val="004A503D"/>
    <w:rsid w:val="004C17EE"/>
    <w:rsid w:val="004C4BDF"/>
    <w:rsid w:val="004D1187"/>
    <w:rsid w:val="004D3AA0"/>
    <w:rsid w:val="004D69B5"/>
    <w:rsid w:val="004E1987"/>
    <w:rsid w:val="004E2E15"/>
    <w:rsid w:val="004E6B2F"/>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46BCA"/>
    <w:rsid w:val="00671BD5"/>
    <w:rsid w:val="006805C1"/>
    <w:rsid w:val="00686C21"/>
    <w:rsid w:val="006931C1"/>
    <w:rsid w:val="00694556"/>
    <w:rsid w:val="006B7258"/>
    <w:rsid w:val="006C30C5"/>
    <w:rsid w:val="006C7D79"/>
    <w:rsid w:val="006D3B31"/>
    <w:rsid w:val="006E0D96"/>
    <w:rsid w:val="006E1A53"/>
    <w:rsid w:val="006F56E6"/>
    <w:rsid w:val="00704EDA"/>
    <w:rsid w:val="00705415"/>
    <w:rsid w:val="00721122"/>
    <w:rsid w:val="00730CDB"/>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22BE5"/>
    <w:rsid w:val="00841158"/>
    <w:rsid w:val="00844318"/>
    <w:rsid w:val="00851257"/>
    <w:rsid w:val="00863F5D"/>
    <w:rsid w:val="00870890"/>
    <w:rsid w:val="00873602"/>
    <w:rsid w:val="00875D12"/>
    <w:rsid w:val="00882C67"/>
    <w:rsid w:val="0088479D"/>
    <w:rsid w:val="00891F42"/>
    <w:rsid w:val="00896889"/>
    <w:rsid w:val="008A59EE"/>
    <w:rsid w:val="008A6E97"/>
    <w:rsid w:val="008C5714"/>
    <w:rsid w:val="008D10B2"/>
    <w:rsid w:val="008F2685"/>
    <w:rsid w:val="008F43B5"/>
    <w:rsid w:val="00903896"/>
    <w:rsid w:val="00906F3D"/>
    <w:rsid w:val="00930A85"/>
    <w:rsid w:val="0094424E"/>
    <w:rsid w:val="00955642"/>
    <w:rsid w:val="009622DF"/>
    <w:rsid w:val="0096493F"/>
    <w:rsid w:val="00967DFF"/>
    <w:rsid w:val="009759C7"/>
    <w:rsid w:val="009777CA"/>
    <w:rsid w:val="00994341"/>
    <w:rsid w:val="00995B3D"/>
    <w:rsid w:val="009D1A48"/>
    <w:rsid w:val="009E1CE7"/>
    <w:rsid w:val="009E4EA5"/>
    <w:rsid w:val="009F164B"/>
    <w:rsid w:val="009F323C"/>
    <w:rsid w:val="00A3392B"/>
    <w:rsid w:val="00A7369D"/>
    <w:rsid w:val="00A75CA9"/>
    <w:rsid w:val="00A81988"/>
    <w:rsid w:val="00A85E34"/>
    <w:rsid w:val="00A87DF6"/>
    <w:rsid w:val="00A9144F"/>
    <w:rsid w:val="00A94B64"/>
    <w:rsid w:val="00AA3229"/>
    <w:rsid w:val="00AA7596"/>
    <w:rsid w:val="00AB5E52"/>
    <w:rsid w:val="00AC3B02"/>
    <w:rsid w:val="00AC3B7B"/>
    <w:rsid w:val="00AC5209"/>
    <w:rsid w:val="00AC5857"/>
    <w:rsid w:val="00AE0E34"/>
    <w:rsid w:val="00AE2025"/>
    <w:rsid w:val="00AE729E"/>
    <w:rsid w:val="00AE7752"/>
    <w:rsid w:val="00AF7FDA"/>
    <w:rsid w:val="00B520EB"/>
    <w:rsid w:val="00B5356E"/>
    <w:rsid w:val="00B62AD7"/>
    <w:rsid w:val="00B66717"/>
    <w:rsid w:val="00B809AD"/>
    <w:rsid w:val="00B80CBD"/>
    <w:rsid w:val="00B86096"/>
    <w:rsid w:val="00B95D6E"/>
    <w:rsid w:val="00B964D9"/>
    <w:rsid w:val="00BA0A7C"/>
    <w:rsid w:val="00BA1C3F"/>
    <w:rsid w:val="00BA517C"/>
    <w:rsid w:val="00BB3D05"/>
    <w:rsid w:val="00BB73BE"/>
    <w:rsid w:val="00BC2D89"/>
    <w:rsid w:val="00BD0AFF"/>
    <w:rsid w:val="00BD6531"/>
    <w:rsid w:val="00BE05B2"/>
    <w:rsid w:val="00BF0C96"/>
    <w:rsid w:val="00BF1908"/>
    <w:rsid w:val="00C22D93"/>
    <w:rsid w:val="00C23458"/>
    <w:rsid w:val="00C31120"/>
    <w:rsid w:val="00C34482"/>
    <w:rsid w:val="00C43648"/>
    <w:rsid w:val="00C50A9F"/>
    <w:rsid w:val="00C54F92"/>
    <w:rsid w:val="00C642FA"/>
    <w:rsid w:val="00CC7622"/>
    <w:rsid w:val="00CD516B"/>
    <w:rsid w:val="00CD608F"/>
    <w:rsid w:val="00CE0084"/>
    <w:rsid w:val="00CE02F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3121"/>
    <w:rsid w:val="00DE6BF6"/>
    <w:rsid w:val="00E1068A"/>
    <w:rsid w:val="00E125AC"/>
    <w:rsid w:val="00E25884"/>
    <w:rsid w:val="00E25B55"/>
    <w:rsid w:val="00E31C2B"/>
    <w:rsid w:val="00E5426A"/>
    <w:rsid w:val="00E54642"/>
    <w:rsid w:val="00E67226"/>
    <w:rsid w:val="00E765F7"/>
    <w:rsid w:val="00E80CBE"/>
    <w:rsid w:val="00E81A7B"/>
    <w:rsid w:val="00E9269D"/>
    <w:rsid w:val="00E962E3"/>
    <w:rsid w:val="00EB6C79"/>
    <w:rsid w:val="00EC37E9"/>
    <w:rsid w:val="00F038D8"/>
    <w:rsid w:val="00F06995"/>
    <w:rsid w:val="00F12D66"/>
    <w:rsid w:val="00F13623"/>
    <w:rsid w:val="00F42D27"/>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6546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057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A75AC"/>
    <w:rsid w:val="001C55D5"/>
    <w:rsid w:val="002D02C4"/>
    <w:rsid w:val="002D09CE"/>
    <w:rsid w:val="00345C9D"/>
    <w:rsid w:val="00436075"/>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429C2"/>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שחר ולנר</FullName>
        <FirstName>שחר</FirstName>
        <LastName>ולנר</LastName>
        <PartyPropertyName/>
        <AuthenticationTypeAndNumber>מ.ר. 24444</AuthenticationTypeAndNumber>
        <RepresentatedOrRepresentativesNames>אפרת בן ארי, קרן רוזמן</RepresentatedOrRepresentativesNames>
        <RepresentatedOrRepresentativesCount>2</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271516036</CasePartyID>
        <PartyTypeID>2</PartyTypeID>
        <ActivityStatusID>1</ActivityStatusID>
        <PartyAliasID>23</PartyAliasID>
        <PartyAliasName>בא כוח משיבים</PartyAliasName>
        <LegalEntityID>380561</LegalEntityID>
        <CaseLegalEntityID>129288570</CaseLegalEntityID>
        <AuthenticationTypeID>4</AuthenticationTypeID>
        <AuthenticationTypeName>מ.ר.</AuthenticationTypeName>
        <LegalEntityNumber>24444</LegalEntityNumber>
        <IsMainPartyType>true</IsMainPartyType>
        <CaseDisplayIdentifier>34684-06-24</CaseDisplayIdentifier>
        <CaseTypeID>10074</CaseTypeID>
        <CaseTypeName>רשות ערעור משפחה (רמ"ש)</CaseTypeName>
        <CaseName>רון נ' רוזמן ואח'</CaseName>
        <FullAddress>זבוטנסקי 9 קומה 17 בני ברק </FullAddress>
        <EmailAddress>office@welner-law.co.il</EmailAddress>
        <MotionID>0</MotionID>
        <CasePleaID>0</CasePleaID>
        <LinkedCaseID>0</LinkedCaseID>
        <PartyID>2</PartyID>
        <CasePartyCategoryID>2</CasePartyCategoryID>
        <LegalEntityAddressID>88833550</LegalEntityAddressID>
        <LegalEntityEmailAddressID>68153475</LegalEntityEmailAddressID>
        <PleaTypeID>5</PleaTypeID>
        <LawyerOfficeName>ולנר ושות עו"ד ונוטריון</LawyerOfficeName>
        <LawyerOfficeID>78903989</LawyerOfficeID>
        <GroupPartyAlias/>
        <IsConverted>false</IsConverted>
        <LegalEntityNameID>1545</LegalEntityNameID>
        <RepresentatedNamesOfAssistant/>
        <LegalEntityTypeID>4</LegalEntityTypeID>
        <IsVerdictExists>false</IsVerdictExists>
        <IsAsirAzir>false</IsAsirAzir>
        <MainAndSecSpec/>
        <IsPublicationProhibited>false</IsPublicationProhibited>
        <PublicationProhibitedFullName>שחר ולנר</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גלעד רון</FullName>
        <FirstName>גלעד צפניה</FirstName>
        <LastName>רון</LastName>
        <PartyPropertyName/>
        <AuthenticationTypeAndNumber>ת"ז 055457709</AuthenticationTypeAndNumber>
        <RepresentatedOrRepresentativesNames>סיגל אלון</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271515579</CasePartyID>
        <PartyTypeID>1</PartyTypeID>
        <ActivityStatusID>1</ActivityStatusID>
        <PartyAliasID>3</PartyAliasID>
        <PartyAliasName>מבקש</PartyAliasName>
        <OrdinalNumber>1</OrdinalNumber>
        <LegalEntityID>20922734</LegalEntityID>
        <CaseLegalEntityID>129288459</CaseLegalEntityID>
        <AuthenticationTypeID>1</AuthenticationTypeID>
        <AuthenticationTypeName>ת"ז</AuthenticationTypeName>
        <LegalEntityNumber>055457709</LegalEntityNumber>
        <IsMainPartyType>true</IsMainPartyType>
        <CaseDisplayIdentifier>34684-06-24</CaseDisplayIdentifier>
        <CaseTypeID>10074</CaseTypeID>
        <CaseTypeName>רשות ערעור משפחה (רמ"ש)</CaseTypeName>
        <CaseName>רון נ' רוזמן ואח'</CaseName>
        <FullAddress>הגפן 3 שבי ציון </FullAddress>
        <MotionID>0</MotionID>
        <CasePleaID>0</CasePleaID>
        <FatherName>אלקנה</FatherName>
        <LinkedCaseID>0</LinkedCaseID>
        <PartyID>1</PartyID>
        <CasePartyCategoryID>2</CasePartyCategoryID>
        <LegalEntityAddressID>89427536</LegalEntityAddressID>
        <PleaTypeID>5</PleaTypeID>
        <GroupPartyAlias>מבקשים</GroupPartyAlias>
        <IsConverted>false</IsConverted>
        <LegalEntityRegisteredNameID>1741026</LegalEntityRegisteredNameID>
        <LegalEntityNameID>94858216</LegalEntityNameID>
        <RepresentatedNamesOfAssistant/>
        <LegalEntityTypeID>1</LegalEntityTypeID>
        <IsVerdictExists>false</IsVerdictExists>
        <IsAsirAzir>false</IsAsirAzir>
        <MainAndSecSpec/>
        <IsPublicationProhibited>false</IsPublicationProhibited>
        <PublicationProhibitedFullName>גלעד 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סיגל אלון</FullName>
        <FirstName>סיגל</FirstName>
        <LastName>אלון</LastName>
        <PartyPropertyName/>
        <AuthenticationTypeAndNumber>מ.ר. 20039</AuthenticationTypeAndNumber>
        <RepresentatedOrRepresentativesNames>גלעד רון</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271515582</CasePartyID>
        <PartyTypeID>2</PartyTypeID>
        <ActivityStatusID>1</ActivityStatusID>
        <PartyAliasID>22</PartyAliasID>
        <PartyAliasName>בא כוח מבקשים</PartyAliasName>
        <OrdinalNumber>1</OrdinalNumber>
        <LegalEntityID>381886</LegalEntityID>
        <CaseLegalEntityID>129288462</CaseLegalEntityID>
        <AuthenticationTypeID>4</AuthenticationTypeID>
        <AuthenticationTypeName>מ.ר.</AuthenticationTypeName>
        <LegalEntityNumber>20039</LegalEntityNumber>
        <IsMainPartyType>true</IsMainPartyType>
        <CaseDisplayIdentifier>34684-06-24</CaseDisplayIdentifier>
        <CaseTypeID>10074</CaseTypeID>
        <CaseTypeName>רשות ערעור משפחה (רמ"ש)</CaseTypeName>
        <CaseName>רון נ' רוזמן ואח'</CaseName>
        <FullAddress>סוקולוב 23 נהרייה </FullAddress>
        <MotionID>0</MotionID>
        <CasePleaID>0</CasePleaID>
        <FatherName xml:space="preserve">        </FatherName>
        <LinkedCaseID>0</LinkedCaseID>
        <PartyID>1</PartyID>
        <CasePartyCategoryID>2</CasePartyCategoryID>
        <LegalEntityAddressID>424868</LegalEntityAddressID>
        <PleaTypeID>5</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MainAndSecSpec/>
        <IsPublicationProhibited>false</IsPublicationProhibited>
        <PublicationProhibitedFullName>סיגל אלון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קרן רוזמן</FullName>
        <FirstName>קרן</FirstName>
        <LastName>רוזמן</LastName>
        <PartyPropertyName/>
        <AuthenticationTypeAndNumber>ת"ז 025136896</AuthenticationTypeAndNumber>
        <RepresentatedOrRepresentativesNames>שחר ולנר</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271515580</CasePartyID>
        <PartyTypeID>1</PartyTypeID>
        <ActivityStatusID>1</ActivityStatusID>
        <PartyAliasID>4</PartyAliasID>
        <PartyAliasName>משיב</PartyAliasName>
        <OrdinalNumber>1</OrdinalNumber>
        <LegalEntityID>12711283</LegalEntityID>
        <CaseLegalEntityID>129288460</CaseLegalEntityID>
        <AuthenticationTypeID>1</AuthenticationTypeID>
        <AuthenticationTypeName>ת"ז</AuthenticationTypeName>
        <LegalEntityNumber>025136896</LegalEntityNumber>
        <IsMainPartyType>true</IsMainPartyType>
        <CaseDisplayIdentifier>34684-06-24</CaseDisplayIdentifier>
        <CaseTypeID>10074</CaseTypeID>
        <CaseTypeName>רשות ערעור משפחה (רמ"ש)</CaseTypeName>
        <CaseName>רון נ' רוזמן ואח'</CaseName>
        <FullAddress>הגפן 4 שבי ציון </FullAddress>
        <MotionID>0</MotionID>
        <CasePleaID>0</CasePleaID>
        <FatherName>אלקנה</FatherName>
        <LinkedCaseID>0</LinkedCaseID>
        <PartyID>2</PartyID>
        <CasePartyCategoryID>2</CasePartyCategoryID>
        <LegalEntityAddressID>87910189</LegalEntityAddressID>
        <PleaTypeID>5</PleaTypeID>
        <GroupPartyAlias>משיבים</GroupPartyAlias>
        <IsConverted>false</IsConverted>
        <LegalEntityRegisteredNameID>10340614</LegalEntityRegisteredNameID>
        <LegalEntityNameID>94858215</LegalEntityNameID>
        <RepresentatedNamesOfAssistant/>
        <LegalEntityTypeID>1</LegalEntityTypeID>
        <IsVerdictExists>false</IsVerdictExists>
        <IsAsirAzir>false</IsAsirAzir>
        <MainAndSecSpec/>
        <IsPublicationProhibited>false</IsPublicationProhibited>
        <PublicationProhibitedFullName>קרן רוזמן</PublicationProhibitedFullName>
      </CaseParties>
      <CaseParties>
        <PartyTypeName>צד</PartyTypeName>
        <ProceedingType>כתב טענות עיקרי</ProceedingType>
        <PleaName>כתב בקשה</PleaName>
        <PartyBelonging>צד ב'</PartyBelonging>
        <RoleName>משיב 2 - תובע</RoleName>
        <IsSubProceeding>FALSE</IsSubProceeding>
        <FullName>אפרת בן ארי</FullName>
        <FirstName>אפרת</FirstName>
        <LastName>בן ארי</LastName>
        <PartyPropertyName/>
        <AuthenticationTypeAndNumber>ת"ז 057765539</AuthenticationTypeAndNumber>
        <RepresentatedOrRepresentativesNames>שחר ולנר</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271515581</CasePartyID>
        <PartyTypeID>1</PartyTypeID>
        <ActivityStatusID>1</ActivityStatusID>
        <PartyAliasID>4</PartyAliasID>
        <PartyAliasName>משיב</PartyAliasName>
        <OrdinalNumber>2</OrdinalNumber>
        <LegalEntityID>77118797</LegalEntityID>
        <CaseLegalEntityID>129288461</CaseLegalEntityID>
        <AuthenticationTypeID>1</AuthenticationTypeID>
        <AuthenticationTypeName>ת"ז</AuthenticationTypeName>
        <LegalEntityNumber>057765539</LegalEntityNumber>
        <IsMainPartyType>true</IsMainPartyType>
        <CaseDisplayIdentifier>34684-06-24</CaseDisplayIdentifier>
        <CaseTypeID>10074</CaseTypeID>
        <CaseTypeName>רשות ערעור משפחה (רמ"ש)</CaseTypeName>
        <CaseName>רון נ' רוזמן ואח'</CaseName>
        <FullAddress>החצב 6 כפר ורדים </FullAddress>
        <MotionID>0</MotionID>
        <CasePleaID>0</CasePleaID>
        <FatherName>אלקנה</FatherName>
        <LinkedCaseID>0</LinkedCaseID>
        <PartyID>2</PartyID>
        <CasePartyCategoryID>2</CasePartyCategoryID>
        <LegalEntityAddressID>87910188</LegalEntityAddressID>
        <PleaTypeID>5</PleaTypeID>
        <GroupPartyAlias>משיבים</GroupPartyAlias>
        <IsConverted>false</IsConverted>
        <LegalEntityRegisteredNameID>7375657</LegalEntityRegisteredNameID>
        <LegalEntityNameID>94858214</LegalEntityNameID>
        <RepresentatedNamesOfAssistant/>
        <LegalEntityTypeID>1</LegalEntityTypeID>
        <IsVerdictExists>false</IsVerdictExists>
        <IsAsirAzir>false</IsAsirAzir>
        <MainAndSecSpec/>
        <IsPublicationProhibited>false</IsPublicationProhibited>
        <PublicationProhibitedFullName>אפרת בן ארי</PublicationProhibitedFullName>
      </CaseParties>
    </CasePartiesSelectionDS>
    <DecisionName>החלטה  שניתנה ע"י  סארי ג'יוסי</DecisionName>
    <CourtDisplayName>בית המשפט המחוזי בחיפה בשבתו כבית-משפט לערעורים אזרחיים</CourtDisplayName>
    <IsCaseJudgePanel>false</IsCaseJudgePanel>
    <DecisionSignatureDate>2024-08-12T10:48:56.9929089+03:00</DecisionSignatureDate>
    <OpenCaseDate>2024-06-17T07:46:00+03:00</OpenCaseDate>
    <CaseFeeSum>0.000</CaseFeeSum>
    <DecisionTypeID>1</DecisionTypeID>
    <DecisionSignatureUserName>סארי ג'יוסי</DecisionSignatureUserName>
    <DecisionSignatureDateHebrew>2024-08-12T10:48:56.9929089+03:00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רון נ' רוזמן ואח'</CaseName>
    <DecisionNumberInCase>1</DecisionNumberInCase>
  </dt_Decision>
  <dt_DecisionCase>
    <DecisionID>0</DecisionID>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שחר ולנר</FullName>
        <FirstName>שחר</FirstName>
        <LastName>ולנר</LastName>
        <PartyPropertyName/>
        <AuthenticationTypeAndNumber>מ.ר. 24444</AuthenticationTypeAndNumber>
        <RepresentatedOrRepresentativesNames>אפרת בן ארי, קרן רוזמן</RepresentatedOrRepresentativesNames>
        <RepresentatedOrRepresentativesCount>2</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271516036</CasePartyID>
        <PartyTypeID>2</PartyTypeID>
        <ActivityStatusID>1</ActivityStatusID>
        <PartyAliasID>23</PartyAliasID>
        <PartyAliasName>בא כוח משיבים</PartyAliasName>
        <LegalEntityID>380561</LegalEntityID>
        <CaseLegalEntityID>129288570</CaseLegalEntityID>
        <AuthenticationTypeID>4</AuthenticationTypeID>
        <AuthenticationTypeName>מ.ר.</AuthenticationTypeName>
        <LegalEntityNumber>24444</LegalEntityNumber>
        <IsMainPartyType>true</IsMainPartyType>
        <CaseDisplayIdentifier>34684-06-24</CaseDisplayIdentifier>
        <CaseTypeID>10074</CaseTypeID>
        <CaseTypeName>רשות ערעור משפחה (רמ"ש)</CaseTypeName>
        <CaseName>רון נ' רוזמן ואח'</CaseName>
        <FullAddress>זבוטנסקי 9 קומה 17 בני ברק </FullAddress>
        <EmailAddress>office@welner-law.co.il</EmailAddress>
        <MotionID>0</MotionID>
        <CasePleaID>0</CasePleaID>
        <LinkedCaseID>0</LinkedCaseID>
        <PartyID>2</PartyID>
        <CasePartyCategoryID>2</CasePartyCategoryID>
        <LegalEntityAddressID>88833550</LegalEntityAddressID>
        <LegalEntityEmailAddressID>68153475</LegalEntityEmailAddressID>
        <PleaTypeID>5</PleaTypeID>
        <LawyerOfficeName>ולנר ושות עו"ד ונוטריון</LawyerOfficeName>
        <LawyerOfficeID>78903989</LawyerOfficeID>
        <GroupPartyAlias/>
        <IsConverted>false</IsConverted>
        <LegalEntityNameID>1545</LegalEntityNameID>
        <RepresentatedNamesOfAssistant/>
        <LegalEntityTypeID>4</LegalEntityTypeID>
        <IsVerdictExists>false</IsVerdictExists>
        <IsAsirAzir>false</IsAsirAzir>
        <MainAndSecSpec/>
        <IsPublicationProhibited>false</IsPublicationProhibited>
        <PublicationProhibitedFullName>שחר ולנר</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גלעד רון</FullName>
        <FirstName>גלעד צפניה</FirstName>
        <LastName>רון</LastName>
        <PartyPropertyName/>
        <AuthenticationTypeAndNumber>ת"ז 055457709</AuthenticationTypeAndNumber>
        <RepresentatedOrRepresentativesNames>סיגל אלון</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271515579</CasePartyID>
        <PartyTypeID>1</PartyTypeID>
        <ActivityStatusID>1</ActivityStatusID>
        <PartyAliasID>3</PartyAliasID>
        <PartyAliasName>מבקש</PartyAliasName>
        <OrdinalNumber>1</OrdinalNumber>
        <LegalEntityID>20922734</LegalEntityID>
        <CaseLegalEntityID>129288459</CaseLegalEntityID>
        <AuthenticationTypeID>1</AuthenticationTypeID>
        <AuthenticationTypeName>ת"ז</AuthenticationTypeName>
        <LegalEntityNumber>055457709</LegalEntityNumber>
        <IsMainPartyType>true</IsMainPartyType>
        <CaseDisplayIdentifier>34684-06-24</CaseDisplayIdentifier>
        <CaseTypeID>10074</CaseTypeID>
        <CaseTypeName>רשות ערעור משפחה (רמ"ש)</CaseTypeName>
        <CaseName>רון נ' רוזמן ואח'</CaseName>
        <FullAddress>הגפן 3 שבי ציון </FullAddress>
        <MotionID>0</MotionID>
        <CasePleaID>0</CasePleaID>
        <FatherName>אלקנה</FatherName>
        <LinkedCaseID>0</LinkedCaseID>
        <PartyID>1</PartyID>
        <CasePartyCategoryID>2</CasePartyCategoryID>
        <LegalEntityAddressID>89427536</LegalEntityAddressID>
        <PleaTypeID>5</PleaTypeID>
        <GroupPartyAlias>מבקשים</GroupPartyAlias>
        <IsConverted>false</IsConverted>
        <LegalEntityRegisteredNameID>1741026</LegalEntityRegisteredNameID>
        <LegalEntityNameID>94858216</LegalEntityNameID>
        <RepresentatedNamesOfAssistant/>
        <LegalEntityTypeID>1</LegalEntityTypeID>
        <IsVerdictExists>false</IsVerdictExists>
        <IsAsirAzir>false</IsAsirAzir>
        <MainAndSecSpec/>
        <IsPublicationProhibited>false</IsPublicationProhibited>
        <PublicationProhibitedFullName>גלעד 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סיגל אלון</FullName>
        <FirstName>סיגל</FirstName>
        <LastName>אלון</LastName>
        <PartyPropertyName/>
        <AuthenticationTypeAndNumber>מ.ר. 20039</AuthenticationTypeAndNumber>
        <RepresentatedOrRepresentativesNames>גלעד רון</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271515582</CasePartyID>
        <PartyTypeID>2</PartyTypeID>
        <ActivityStatusID>1</ActivityStatusID>
        <PartyAliasID>22</PartyAliasID>
        <PartyAliasName>בא כוח מבקשים</PartyAliasName>
        <OrdinalNumber>1</OrdinalNumber>
        <LegalEntityID>381886</LegalEntityID>
        <CaseLegalEntityID>129288462</CaseLegalEntityID>
        <AuthenticationTypeID>4</AuthenticationTypeID>
        <AuthenticationTypeName>מ.ר.</AuthenticationTypeName>
        <LegalEntityNumber>20039</LegalEntityNumber>
        <IsMainPartyType>true</IsMainPartyType>
        <CaseDisplayIdentifier>34684-06-24</CaseDisplayIdentifier>
        <CaseTypeID>10074</CaseTypeID>
        <CaseTypeName>רשות ערעור משפחה (רמ"ש)</CaseTypeName>
        <CaseName>רון נ' רוזמן ואח'</CaseName>
        <FullAddress>סוקולוב 23 נהרייה </FullAddress>
        <MotionID>0</MotionID>
        <CasePleaID>0</CasePleaID>
        <FatherName xml:space="preserve">        </FatherName>
        <LinkedCaseID>0</LinkedCaseID>
        <PartyID>1</PartyID>
        <CasePartyCategoryID>2</CasePartyCategoryID>
        <LegalEntityAddressID>424868</LegalEntityAddressID>
        <PleaTypeID>5</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MainAndSecSpec/>
        <IsPublicationProhibited>false</IsPublicationProhibited>
        <PublicationProhibitedFullName>סיגל אלון</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קרן רוזמן</FullName>
        <FirstName>קרן</FirstName>
        <LastName>רוזמן</LastName>
        <PartyPropertyName/>
        <AuthenticationTypeAndNumber>ת"ז 025136896</AuthenticationTypeAndNumber>
        <RepresentatedOrRepresentativesNames>שחר ולנר</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271515580</CasePartyID>
        <PartyTypeID>1</PartyTypeID>
        <ActivityStatusID>1</ActivityStatusID>
        <PartyAliasID>4</PartyAliasID>
        <PartyAliasName>משיב</PartyAliasName>
        <OrdinalNumber>1</OrdinalNumber>
        <LegalEntityID>12711283</LegalEntityID>
        <CaseLegalEntityID>129288460</CaseLegalEntityID>
        <AuthenticationTypeID>1</AuthenticationTypeID>
        <AuthenticationTypeName>ת"ז</AuthenticationTypeName>
        <LegalEntityNumber>025136896</LegalEntityNumber>
        <IsMainPartyType>true</IsMainPartyType>
        <CaseDisplayIdentifier>34684-06-24</CaseDisplayIdentifier>
        <CaseTypeID>10074</CaseTypeID>
        <CaseTypeName>רשות ערעור משפחה (רמ"ש)</CaseTypeName>
        <CaseName>רון נ' רוזמן ואח'</CaseName>
        <FullAddress>הגפן 4 שבי ציון </FullAddress>
        <MotionID>0</MotionID>
        <CasePleaID>0</CasePleaID>
        <FatherName>אלקנה</FatherName>
        <LinkedCaseID>0</LinkedCaseID>
        <PartyID>2</PartyID>
        <CasePartyCategoryID>2</CasePartyCategoryID>
        <LegalEntityAddressID>87910189</LegalEntityAddressID>
        <PleaTypeID>5</PleaTypeID>
        <GroupPartyAlias>משיבים</GroupPartyAlias>
        <IsConverted>false</IsConverted>
        <LegalEntityRegisteredNameID>10340614</LegalEntityRegisteredNameID>
        <LegalEntityNameID>94858215</LegalEntityNameID>
        <RepresentatedNamesOfAssistant/>
        <LegalEntityTypeID>1</LegalEntityTypeID>
        <IsVerdictExists>false</IsVerdictExists>
        <IsAsirAzir>false</IsAsirAzir>
        <MainAndSecSpec/>
        <IsPublicationProhibited>false</IsPublicationProhibited>
        <PublicationProhibitedFullName>קרן רוזמן</PublicationProhibitedFullName>
      </CaseParties>
      <CaseParties>
        <PartyTypeName>צד</PartyTypeName>
        <ProceedingType>כתב טענות עיקרי</ProceedingType>
        <PleaName>כתב בקשה</PleaName>
        <PartyBelonging>צד ב'</PartyBelonging>
        <RoleName>משיב 2 - תובע</RoleName>
        <IsSubProceeding>FALSE</IsSubProceeding>
        <FullName>אפרת בן ארי</FullName>
        <FirstName>אפרת</FirstName>
        <LastName>בן ארי</LastName>
        <PartyPropertyName/>
        <AuthenticationTypeAndNumber>ת"ז 057765539</AuthenticationTypeAndNumber>
        <RepresentatedOrRepresentativesNames>שחר ולנר</RepresentatedOrRepresentativesNames>
        <RepresentatedOrRepresentativesCount>1</RepresentatedOrRepresentativesCount>
        <InvitedBy/>
        <CaseID>81316567</CaseID>
        <CaseJudicialPersonPresentationDS>
          <CaseJudicalPersonActive>
            <CaseID>81316567</CaseID>
            <JudicialPersonID>023469166@GOV.IL</JudicialPersonID>
            <JudicialPersonTypeID>1</JudicialPersonTypeID>
            <JudicialTypeID>1</JudicialTypeID>
            <IsChairman>false</IsChairman>
            <TreatmentStartDate>2024-06-17T11:37:40.303+03:00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271515581</CasePartyID>
        <PartyTypeID>1</PartyTypeID>
        <ActivityStatusID>1</ActivityStatusID>
        <PartyAliasID>4</PartyAliasID>
        <PartyAliasName>משיב</PartyAliasName>
        <OrdinalNumber>2</OrdinalNumber>
        <LegalEntityID>77118797</LegalEntityID>
        <CaseLegalEntityID>129288461</CaseLegalEntityID>
        <AuthenticationTypeID>1</AuthenticationTypeID>
        <AuthenticationTypeName>ת"ז</AuthenticationTypeName>
        <LegalEntityNumber>057765539</LegalEntityNumber>
        <IsMainPartyType>true</IsMainPartyType>
        <CaseDisplayIdentifier>34684-06-24</CaseDisplayIdentifier>
        <CaseTypeID>10074</CaseTypeID>
        <CaseTypeName>רשות ערעור משפחה (רמ"ש)</CaseTypeName>
        <CaseName>רון נ' רוזמן ואח'</CaseName>
        <FullAddress>החצב 6 כפר ורדים </FullAddress>
        <MotionID>0</MotionID>
        <CasePleaID>0</CasePleaID>
        <FatherName>אלקנה</FatherName>
        <LinkedCaseID>0</LinkedCaseID>
        <PartyID>2</PartyID>
        <CasePartyCategoryID>2</CasePartyCategoryID>
        <LegalEntityAddressID>87910188</LegalEntityAddressID>
        <PleaTypeID>5</PleaTypeID>
        <GroupPartyAlias>משיבים</GroupPartyAlias>
        <IsConverted>false</IsConverted>
        <LegalEntityRegisteredNameID>7375657</LegalEntityRegisteredNameID>
        <LegalEntityNameID>94858214</LegalEntityNameID>
        <RepresentatedNamesOfAssistant/>
        <LegalEntityTypeID>1</LegalEntityTypeID>
        <IsVerdictExists>false</IsVerdictExists>
        <IsAsirAzir>false</IsAsirAzir>
        <MainAndSecSpec/>
        <IsPublicationProhibited>false</IsPublicationProhibited>
        <PublicationProhibitedFullName>אפרת בן ארי</PublicationProhibitedFullName>
      </CaseParties>
    </CasePartiesSelectionDS>
    <CaseName>רון נ' רוזמן ואח'</CaseName>
    <CaseDisplayIdentifier>34684-06-24</CaseDisplayIdentifier>
    <CaseInterestID>101</CaseInterestID>
    <CaseTypeShortName>רמ"ש</CaseTypeShortName>
  </dt_DecisionCase>
  <dt_DecisionJudgePanel>
    <JudgeID>023469166@GOV.IL</JudgeID>
    <DisplayName>סארי ג'יוסי</DisplayName>
    <RoleName>שופט</RoleName>
    <UserTitleName>שופט</UserTitleName>
  </dt_DecisionJudgePanel>
  <dt_LegalEntityDetails>
    <Fax>03-5019003</Fax>
    <Phone>03-5019005</Phone>
    <PartyID>2</PartyID>
    <PartyTypeID>2</PartyTypeID>
    <DecisionID>0</DecisionID>
    <StreetName>זבוטנסקי 9 קומה 17</StreetName>
    <ZipCode>5126417</ZipCode>
    <CityName>בני ברק</CityName>
    <FullName>שחר ולנר</FullName>
    <Email>office@welner-law.co.il</Email>
    <IsPublicationProhibited>false</IsPublicationProhibited>
  </dt_LegalEntityDetails>
  <dt_LegalEntityDetails>
    <PartyID>1</PartyID>
    <PartyTypeID>1</PartyTypeID>
    <DecisionID>0</DecisionID>
    <StreetName>הגפן 3</StreetName>
    <CityName>שבי ציון</CityName>
    <FullName>גלעד רון</FullName>
    <IsPublicationProhibited>false</IsPublicationProhibited>
  </dt_LegalEntityDetails>
  <dt_LegalEntityDetails>
    <PartyID>2</PartyID>
    <PartyTypeID>1</PartyTypeID>
    <DecisionID>0</DecisionID>
    <StreetName>הגפן 4</StreetName>
    <CityName>שבי ציון</CityName>
    <FullName>קרן  רוזמן </FullName>
    <IsPublicationProhibited>false</IsPublicationProhibited>
  </dt_LegalEntityDetails>
  <dt_LegalEntityDetails>
    <Fax>04-9514123</Fax>
    <Phone>04-9923628</Phone>
    <PartyID>1</PartyID>
    <PartyTypeID>2</PartyTypeID>
    <DecisionID>0</DecisionID>
    <StreetName>סוקולוב 23</StreetName>
    <ZipCode>22421</ZipCode>
    <CityName>נהרייה</CityName>
    <FullName>סיגל אלון</FullName>
    <Email>sigal@sigal-alon.co.il</Email>
    <IsPublicationProhibited>false</IsPublicationProhibited>
  </dt_LegalEntityDetails>
  <dt_LegalEntityDetails>
    <PartyID>2</PartyID>
    <PartyTypeID>1</PartyTypeID>
    <DecisionID>0</DecisionID>
    <StreetName>החצב 6</StreetName>
    <CityName>כפר ורדים</CityName>
    <FullName>אפרת  בן ארי</FullName>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3AA88-E052-49D4-974A-FED7DC8D6A92}">
  <ds:schemaRefs/>
</ds:datastoreItem>
</file>

<file path=customXml/itemProps2.xml><?xml version="1.0" encoding="utf-8"?>
<ds:datastoreItem xmlns:ds="http://schemas.openxmlformats.org/officeDocument/2006/customXml" ds:itemID="{79D5B644-3C71-453F-9971-69BB6186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1368</Words>
  <Characters>6843</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2024-08-25T08:12:00Z</dcterms:created>
  <dcterms:modified xsi:type="dcterms:W3CDTF">2024-08-25T08:12:00Z</dcterms:modified>
</cp:coreProperties>
</file>